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69" w:rsidRPr="00C74542" w:rsidRDefault="008A0469">
      <w:pPr>
        <w:rPr>
          <w:rFonts w:ascii="Times New Roman" w:hAnsi="Times New Roman" w:cs="Times New Roman"/>
          <w:sz w:val="24"/>
        </w:rPr>
      </w:pPr>
      <w:r w:rsidRPr="006E6A33">
        <w:rPr>
          <w:rFonts w:ascii="Times New Roman" w:hAnsi="Times New Roman" w:cs="Times New Roman"/>
          <w:sz w:val="24"/>
        </w:rPr>
        <w:tab/>
      </w:r>
      <w:r w:rsidRPr="006E6A33">
        <w:rPr>
          <w:rFonts w:ascii="Times New Roman" w:hAnsi="Times New Roman" w:cs="Times New Roman"/>
          <w:sz w:val="24"/>
        </w:rPr>
        <w:tab/>
      </w:r>
      <w:r w:rsidRPr="006E6A33">
        <w:rPr>
          <w:rFonts w:ascii="Times New Roman" w:hAnsi="Times New Roman" w:cs="Times New Roman"/>
          <w:sz w:val="24"/>
        </w:rPr>
        <w:tab/>
      </w:r>
      <w:r w:rsidRPr="006E6A33">
        <w:rPr>
          <w:rFonts w:ascii="Times New Roman" w:hAnsi="Times New Roman" w:cs="Times New Roman"/>
          <w:sz w:val="24"/>
        </w:rPr>
        <w:tab/>
      </w:r>
      <w:r w:rsidRPr="006E6A33">
        <w:rPr>
          <w:rFonts w:ascii="Times New Roman" w:hAnsi="Times New Roman" w:cs="Times New Roman"/>
          <w:sz w:val="24"/>
        </w:rPr>
        <w:tab/>
      </w:r>
      <w:r w:rsidRPr="006E6A33">
        <w:rPr>
          <w:rFonts w:ascii="Times New Roman" w:hAnsi="Times New Roman" w:cs="Times New Roman"/>
          <w:sz w:val="24"/>
        </w:rPr>
        <w:tab/>
      </w:r>
      <w:r w:rsidRPr="006E6A33">
        <w:rPr>
          <w:rFonts w:ascii="Times New Roman" w:hAnsi="Times New Roman" w:cs="Times New Roman"/>
          <w:sz w:val="24"/>
        </w:rPr>
        <w:tab/>
      </w:r>
      <w:r w:rsidRPr="006E6A33">
        <w:rPr>
          <w:rFonts w:ascii="Times New Roman" w:hAnsi="Times New Roman" w:cs="Times New Roman"/>
          <w:sz w:val="24"/>
        </w:rPr>
        <w:tab/>
        <w:t>October 29, 2014</w:t>
      </w:r>
    </w:p>
    <w:p w:rsidR="008A0469" w:rsidRPr="00210111" w:rsidRDefault="008A0469">
      <w:pPr>
        <w:rPr>
          <w:rFonts w:ascii="Times New Roman" w:hAnsi="Times New Roman" w:cs="Times New Roman"/>
          <w:sz w:val="24"/>
        </w:rPr>
      </w:pPr>
    </w:p>
    <w:p w:rsidR="00344761" w:rsidRPr="00210111" w:rsidRDefault="00650DC9" w:rsidP="00210111">
      <w:pPr>
        <w:jc w:val="both"/>
        <w:rPr>
          <w:rFonts w:ascii="Times New Roman" w:hAnsi="Times New Roman" w:cs="Times New Roman"/>
          <w:sz w:val="24"/>
        </w:rPr>
      </w:pPr>
      <w:r w:rsidRPr="00210111">
        <w:rPr>
          <w:rFonts w:ascii="Times New Roman" w:hAnsi="Times New Roman" w:cs="Times New Roman"/>
          <w:sz w:val="24"/>
        </w:rPr>
        <w:t xml:space="preserve">Dear </w:t>
      </w:r>
      <w:r w:rsidR="00F23FF3" w:rsidRPr="00210111">
        <w:rPr>
          <w:rFonts w:ascii="Times New Roman" w:hAnsi="Times New Roman" w:cs="Times New Roman"/>
          <w:sz w:val="24"/>
        </w:rPr>
        <w:t>M</w:t>
      </w:r>
      <w:r w:rsidRPr="00210111">
        <w:rPr>
          <w:rFonts w:ascii="Times New Roman" w:hAnsi="Times New Roman" w:cs="Times New Roman"/>
          <w:sz w:val="24"/>
        </w:rPr>
        <w:t>embers of the FCPF Participants Committee,</w:t>
      </w:r>
    </w:p>
    <w:p w:rsidR="00650DC9" w:rsidRPr="00210111" w:rsidRDefault="00F23FF3" w:rsidP="00210111">
      <w:pPr>
        <w:jc w:val="both"/>
        <w:rPr>
          <w:rFonts w:ascii="Times New Roman" w:hAnsi="Times New Roman" w:cs="Times New Roman"/>
          <w:sz w:val="24"/>
        </w:rPr>
      </w:pPr>
      <w:r w:rsidRPr="00210111">
        <w:rPr>
          <w:rFonts w:ascii="Times New Roman" w:hAnsi="Times New Roman" w:cs="Times New Roman"/>
          <w:sz w:val="24"/>
        </w:rPr>
        <w:t>The proposed General Conditions, the Commercial Terms and Term Sheet for the Emission Reduction Payment Agreements (ERPA) have been prepared by the Carbon Fund and are being presented</w:t>
      </w:r>
      <w:r w:rsidR="00650DC9" w:rsidRPr="00210111">
        <w:rPr>
          <w:rFonts w:ascii="Times New Roman" w:hAnsi="Times New Roman" w:cs="Times New Roman"/>
          <w:sz w:val="24"/>
        </w:rPr>
        <w:t xml:space="preserve"> </w:t>
      </w:r>
      <w:r w:rsidR="006E6A33" w:rsidRPr="00C74542">
        <w:rPr>
          <w:rFonts w:ascii="Times New Roman" w:hAnsi="Times New Roman" w:cs="Times New Roman"/>
          <w:sz w:val="24"/>
        </w:rPr>
        <w:t>for</w:t>
      </w:r>
      <w:r w:rsidRPr="00210111">
        <w:rPr>
          <w:rFonts w:ascii="Times New Roman" w:hAnsi="Times New Roman" w:cs="Times New Roman"/>
          <w:sz w:val="24"/>
        </w:rPr>
        <w:t xml:space="preserve"> final approval </w:t>
      </w:r>
      <w:r w:rsidR="00650DC9" w:rsidRPr="00210111">
        <w:rPr>
          <w:rFonts w:ascii="Times New Roman" w:hAnsi="Times New Roman" w:cs="Times New Roman"/>
          <w:sz w:val="24"/>
        </w:rPr>
        <w:t xml:space="preserve">at this meeting. </w:t>
      </w:r>
      <w:r w:rsidRPr="00210111">
        <w:rPr>
          <w:rFonts w:ascii="Times New Roman" w:hAnsi="Times New Roman" w:cs="Times New Roman"/>
          <w:sz w:val="24"/>
        </w:rPr>
        <w:t>After this approval, these terms will govern all ERPAs accepted by the Carbon Fund</w:t>
      </w:r>
      <w:r w:rsidR="002B2C2D" w:rsidRPr="00210111">
        <w:rPr>
          <w:rFonts w:ascii="Times New Roman" w:hAnsi="Times New Roman" w:cs="Times New Roman"/>
          <w:sz w:val="24"/>
        </w:rPr>
        <w:t xml:space="preserve"> and will </w:t>
      </w:r>
      <w:r w:rsidR="006E6A33" w:rsidRPr="00C74542">
        <w:rPr>
          <w:rFonts w:ascii="Times New Roman" w:hAnsi="Times New Roman" w:cs="Times New Roman"/>
          <w:sz w:val="24"/>
        </w:rPr>
        <w:t>be binding on</w:t>
      </w:r>
      <w:r w:rsidR="002B2C2D" w:rsidRPr="00210111">
        <w:rPr>
          <w:rFonts w:ascii="Times New Roman" w:hAnsi="Times New Roman" w:cs="Times New Roman"/>
          <w:sz w:val="24"/>
        </w:rPr>
        <w:t xml:space="preserve"> their implementation</w:t>
      </w:r>
      <w:r w:rsidRPr="00210111">
        <w:rPr>
          <w:rFonts w:ascii="Times New Roman" w:hAnsi="Times New Roman" w:cs="Times New Roman"/>
          <w:sz w:val="24"/>
        </w:rPr>
        <w:t xml:space="preserve">. We would like to raise your attention to </w:t>
      </w:r>
      <w:r w:rsidR="002B2C2D" w:rsidRPr="00210111">
        <w:rPr>
          <w:rFonts w:ascii="Times New Roman" w:hAnsi="Times New Roman" w:cs="Times New Roman"/>
          <w:sz w:val="24"/>
        </w:rPr>
        <w:t xml:space="preserve">four </w:t>
      </w:r>
      <w:r w:rsidRPr="00210111">
        <w:rPr>
          <w:rFonts w:ascii="Times New Roman" w:hAnsi="Times New Roman" w:cs="Times New Roman"/>
          <w:sz w:val="24"/>
        </w:rPr>
        <w:t xml:space="preserve">issues </w:t>
      </w:r>
      <w:r w:rsidR="002B2C2D" w:rsidRPr="00210111">
        <w:rPr>
          <w:rFonts w:ascii="Times New Roman" w:hAnsi="Times New Roman" w:cs="Times New Roman"/>
          <w:sz w:val="24"/>
        </w:rPr>
        <w:t>related to</w:t>
      </w:r>
      <w:r w:rsidRPr="00210111">
        <w:rPr>
          <w:rFonts w:ascii="Times New Roman" w:hAnsi="Times New Roman" w:cs="Times New Roman"/>
          <w:sz w:val="24"/>
        </w:rPr>
        <w:t xml:space="preserve"> the proposed General Conditions and </w:t>
      </w:r>
      <w:r w:rsidR="002B2C2D" w:rsidRPr="00210111">
        <w:rPr>
          <w:rFonts w:ascii="Times New Roman" w:hAnsi="Times New Roman" w:cs="Times New Roman"/>
          <w:sz w:val="24"/>
        </w:rPr>
        <w:t>Commercial Term</w:t>
      </w:r>
      <w:bookmarkStart w:id="0" w:name="_GoBack"/>
      <w:bookmarkEnd w:id="0"/>
      <w:r w:rsidR="002B2C2D" w:rsidRPr="00210111">
        <w:rPr>
          <w:rFonts w:ascii="Times New Roman" w:hAnsi="Times New Roman" w:cs="Times New Roman"/>
          <w:sz w:val="24"/>
        </w:rPr>
        <w:t>s</w:t>
      </w:r>
      <w:r w:rsidRPr="00210111">
        <w:rPr>
          <w:rFonts w:ascii="Times New Roman" w:hAnsi="Times New Roman" w:cs="Times New Roman"/>
          <w:sz w:val="24"/>
        </w:rPr>
        <w:t xml:space="preserve"> for ERPA</w:t>
      </w:r>
      <w:r w:rsidR="002B2C2D" w:rsidRPr="00210111">
        <w:rPr>
          <w:rFonts w:ascii="Times New Roman" w:hAnsi="Times New Roman" w:cs="Times New Roman"/>
          <w:sz w:val="24"/>
        </w:rPr>
        <w:t>s</w:t>
      </w:r>
      <w:r w:rsidRPr="00210111">
        <w:rPr>
          <w:rFonts w:ascii="Times New Roman" w:hAnsi="Times New Roman" w:cs="Times New Roman"/>
          <w:sz w:val="24"/>
        </w:rPr>
        <w:t xml:space="preserve"> which w</w:t>
      </w:r>
      <w:r w:rsidR="00650DC9" w:rsidRPr="00210111">
        <w:rPr>
          <w:rFonts w:ascii="Times New Roman" w:hAnsi="Times New Roman" w:cs="Times New Roman"/>
          <w:sz w:val="24"/>
        </w:rPr>
        <w:t xml:space="preserve">e have raised on repeated occasions, but are dissatisfied with the response of the FMT and </w:t>
      </w:r>
      <w:r w:rsidRPr="00210111">
        <w:rPr>
          <w:rFonts w:ascii="Times New Roman" w:hAnsi="Times New Roman" w:cs="Times New Roman"/>
          <w:sz w:val="24"/>
        </w:rPr>
        <w:t xml:space="preserve">extremely concerned about </w:t>
      </w:r>
      <w:r w:rsidR="00650DC9" w:rsidRPr="00210111">
        <w:rPr>
          <w:rFonts w:ascii="Times New Roman" w:hAnsi="Times New Roman" w:cs="Times New Roman"/>
          <w:sz w:val="24"/>
        </w:rPr>
        <w:t xml:space="preserve">the </w:t>
      </w:r>
      <w:r w:rsidR="006E6A33" w:rsidRPr="00C74542">
        <w:rPr>
          <w:rFonts w:ascii="Times New Roman" w:hAnsi="Times New Roman" w:cs="Times New Roman"/>
          <w:sz w:val="24"/>
        </w:rPr>
        <w:t xml:space="preserve">impact of the </w:t>
      </w:r>
      <w:r w:rsidR="00650DC9" w:rsidRPr="00210111">
        <w:rPr>
          <w:rFonts w:ascii="Times New Roman" w:hAnsi="Times New Roman" w:cs="Times New Roman"/>
          <w:sz w:val="24"/>
        </w:rPr>
        <w:t>proposed wording</w:t>
      </w:r>
      <w:r w:rsidR="002B2C2D" w:rsidRPr="00210111">
        <w:rPr>
          <w:rFonts w:ascii="Times New Roman" w:hAnsi="Times New Roman" w:cs="Times New Roman"/>
          <w:sz w:val="24"/>
        </w:rPr>
        <w:t xml:space="preserve"> on the implementation and success of the Carbon Fund’s projects</w:t>
      </w:r>
      <w:r w:rsidRPr="00210111">
        <w:rPr>
          <w:rFonts w:ascii="Times New Roman" w:hAnsi="Times New Roman" w:cs="Times New Roman"/>
          <w:sz w:val="24"/>
        </w:rPr>
        <w:t xml:space="preserve">.  Below, we </w:t>
      </w:r>
      <w:r w:rsidR="002B2C2D" w:rsidRPr="00210111">
        <w:rPr>
          <w:rFonts w:ascii="Times New Roman" w:hAnsi="Times New Roman" w:cs="Times New Roman"/>
          <w:sz w:val="24"/>
        </w:rPr>
        <w:t xml:space="preserve">describe the issues and </w:t>
      </w:r>
      <w:r w:rsidRPr="00210111">
        <w:rPr>
          <w:rFonts w:ascii="Times New Roman" w:hAnsi="Times New Roman" w:cs="Times New Roman"/>
          <w:sz w:val="24"/>
        </w:rPr>
        <w:t>propose</w:t>
      </w:r>
      <w:r w:rsidR="00650DC9" w:rsidRPr="00210111">
        <w:rPr>
          <w:rFonts w:ascii="Times New Roman" w:hAnsi="Times New Roman" w:cs="Times New Roman"/>
          <w:sz w:val="24"/>
        </w:rPr>
        <w:t xml:space="preserve"> relatively minor changes, which we think can have a big impact in ensuring the transparency of Carbon Fund operations and the FCPF goal of ensuring the rights of indigenous peoples and forest communities are respected and livelihoods enhanced through performance based payments for REDD+ under the FCPF Carbon Fund. </w:t>
      </w:r>
    </w:p>
    <w:p w:rsidR="00650DC9" w:rsidRPr="00210111" w:rsidRDefault="00521427" w:rsidP="00210111">
      <w:pPr>
        <w:jc w:val="both"/>
        <w:rPr>
          <w:rFonts w:ascii="Times New Roman" w:hAnsi="Times New Roman" w:cs="Times New Roman"/>
          <w:b/>
          <w:sz w:val="24"/>
        </w:rPr>
      </w:pPr>
      <w:r w:rsidRPr="00210111">
        <w:rPr>
          <w:rFonts w:ascii="Times New Roman" w:hAnsi="Times New Roman" w:cs="Times New Roman"/>
          <w:b/>
          <w:sz w:val="24"/>
        </w:rPr>
        <w:t xml:space="preserve">1) </w:t>
      </w:r>
      <w:r w:rsidR="00650DC9" w:rsidRPr="00210111">
        <w:rPr>
          <w:rFonts w:ascii="Times New Roman" w:hAnsi="Times New Roman" w:cs="Times New Roman"/>
          <w:b/>
          <w:sz w:val="24"/>
        </w:rPr>
        <w:t>Transparency</w:t>
      </w:r>
    </w:p>
    <w:p w:rsidR="00521427" w:rsidRPr="00210111" w:rsidRDefault="00521427" w:rsidP="00210111">
      <w:pPr>
        <w:jc w:val="both"/>
        <w:rPr>
          <w:rFonts w:ascii="Times New Roman" w:hAnsi="Times New Roman" w:cs="Times New Roman"/>
          <w:sz w:val="24"/>
        </w:rPr>
      </w:pPr>
      <w:r w:rsidRPr="00210111">
        <w:rPr>
          <w:rFonts w:ascii="Times New Roman" w:hAnsi="Times New Roman" w:cs="Times New Roman"/>
          <w:b/>
          <w:sz w:val="24"/>
        </w:rPr>
        <w:t>Problem:</w:t>
      </w:r>
      <w:r w:rsidRPr="00210111">
        <w:rPr>
          <w:rFonts w:ascii="Times New Roman" w:hAnsi="Times New Roman" w:cs="Times New Roman"/>
          <w:sz w:val="24"/>
        </w:rPr>
        <w:t xml:space="preserve"> Section</w:t>
      </w:r>
      <w:r w:rsidR="002B2C2D" w:rsidRPr="00210111">
        <w:rPr>
          <w:rFonts w:ascii="Times New Roman" w:hAnsi="Times New Roman" w:cs="Times New Roman"/>
          <w:sz w:val="24"/>
        </w:rPr>
        <w:t xml:space="preserve"> </w:t>
      </w:r>
      <w:r w:rsidRPr="00210111">
        <w:rPr>
          <w:rFonts w:ascii="Times New Roman" w:hAnsi="Times New Roman" w:cs="Times New Roman"/>
          <w:sz w:val="24"/>
        </w:rPr>
        <w:t>10.02 of the ERPA Commercial Terms</w:t>
      </w:r>
      <w:r w:rsidR="002B2C2D" w:rsidRPr="00210111">
        <w:rPr>
          <w:rStyle w:val="Fotnotereferanse"/>
          <w:rFonts w:ascii="Times New Roman" w:hAnsi="Times New Roman" w:cs="Times New Roman"/>
          <w:sz w:val="24"/>
        </w:rPr>
        <w:footnoteReference w:id="1"/>
      </w:r>
      <w:r w:rsidRPr="00210111">
        <w:rPr>
          <w:rFonts w:ascii="Times New Roman" w:hAnsi="Times New Roman" w:cs="Times New Roman"/>
          <w:sz w:val="24"/>
        </w:rPr>
        <w:t xml:space="preserve"> </w:t>
      </w:r>
      <w:r w:rsidR="002B2C2D" w:rsidRPr="00210111">
        <w:rPr>
          <w:rFonts w:ascii="Times New Roman" w:hAnsi="Times New Roman" w:cs="Times New Roman"/>
          <w:sz w:val="24"/>
        </w:rPr>
        <w:t>contains</w:t>
      </w:r>
      <w:r w:rsidRPr="00210111">
        <w:rPr>
          <w:rFonts w:ascii="Times New Roman" w:hAnsi="Times New Roman" w:cs="Times New Roman"/>
          <w:sz w:val="24"/>
        </w:rPr>
        <w:t xml:space="preserve"> language </w:t>
      </w:r>
      <w:r w:rsidR="002B2C2D" w:rsidRPr="00210111">
        <w:rPr>
          <w:rFonts w:ascii="Times New Roman" w:hAnsi="Times New Roman" w:cs="Times New Roman"/>
          <w:sz w:val="24"/>
        </w:rPr>
        <w:t>that</w:t>
      </w:r>
      <w:r w:rsidRPr="00210111">
        <w:rPr>
          <w:rFonts w:ascii="Times New Roman" w:hAnsi="Times New Roman" w:cs="Times New Roman"/>
          <w:sz w:val="24"/>
        </w:rPr>
        <w:t xml:space="preserve"> </w:t>
      </w:r>
      <w:r w:rsidR="002B2C2D" w:rsidRPr="00210111">
        <w:rPr>
          <w:rFonts w:ascii="Times New Roman" w:hAnsi="Times New Roman" w:cs="Times New Roman"/>
          <w:sz w:val="24"/>
        </w:rPr>
        <w:t xml:space="preserve">presumes that all documents related to the ERPA shall be </w:t>
      </w:r>
      <w:r w:rsidRPr="00210111">
        <w:rPr>
          <w:rFonts w:ascii="Times New Roman" w:hAnsi="Times New Roman" w:cs="Times New Roman"/>
          <w:sz w:val="24"/>
        </w:rPr>
        <w:t>confidential</w:t>
      </w:r>
      <w:r w:rsidR="002B2C2D" w:rsidRPr="00210111">
        <w:rPr>
          <w:rFonts w:ascii="Times New Roman" w:hAnsi="Times New Roman" w:cs="Times New Roman"/>
          <w:sz w:val="24"/>
        </w:rPr>
        <w:t xml:space="preserve"> if either party requests confidentiality</w:t>
      </w:r>
      <w:r w:rsidRPr="00210111">
        <w:rPr>
          <w:rFonts w:ascii="Times New Roman" w:hAnsi="Times New Roman" w:cs="Times New Roman"/>
          <w:sz w:val="24"/>
        </w:rPr>
        <w:t>, rather than the agreed to presumption of disclosure</w:t>
      </w:r>
      <w:r w:rsidR="003E5CCA" w:rsidRPr="00210111">
        <w:rPr>
          <w:rFonts w:ascii="Times New Roman" w:hAnsi="Times New Roman" w:cs="Times New Roman"/>
          <w:sz w:val="24"/>
        </w:rPr>
        <w:t xml:space="preserve"> </w:t>
      </w:r>
      <w:r w:rsidR="002B2C2D" w:rsidRPr="00210111">
        <w:rPr>
          <w:rFonts w:ascii="Times New Roman" w:hAnsi="Times New Roman" w:cs="Times New Roman"/>
          <w:sz w:val="24"/>
        </w:rPr>
        <w:t xml:space="preserve">contained </w:t>
      </w:r>
      <w:r w:rsidR="003E5CCA" w:rsidRPr="00210111">
        <w:rPr>
          <w:rFonts w:ascii="Times New Roman" w:hAnsi="Times New Roman" w:cs="Times New Roman"/>
          <w:sz w:val="24"/>
        </w:rPr>
        <w:t>in General Condition 18.07(a)</w:t>
      </w:r>
      <w:r w:rsidR="002B2C2D" w:rsidRPr="00210111">
        <w:rPr>
          <w:rFonts w:ascii="Times New Roman" w:hAnsi="Times New Roman" w:cs="Times New Roman"/>
          <w:sz w:val="24"/>
        </w:rPr>
        <w:t>.</w:t>
      </w:r>
      <w:r w:rsidR="002B2C2D" w:rsidRPr="00210111">
        <w:rPr>
          <w:rStyle w:val="Fotnotereferanse"/>
          <w:rFonts w:ascii="Times New Roman" w:hAnsi="Times New Roman" w:cs="Times New Roman"/>
          <w:sz w:val="24"/>
        </w:rPr>
        <w:footnoteReference w:id="2"/>
      </w:r>
      <w:r w:rsidRPr="00210111">
        <w:rPr>
          <w:rFonts w:ascii="Times New Roman" w:hAnsi="Times New Roman" w:cs="Times New Roman"/>
          <w:sz w:val="24"/>
        </w:rPr>
        <w:t xml:space="preserve"> </w:t>
      </w:r>
      <w:r w:rsidR="009C1214" w:rsidRPr="00210111">
        <w:rPr>
          <w:rFonts w:ascii="Times New Roman" w:hAnsi="Times New Roman" w:cs="Times New Roman"/>
          <w:sz w:val="24"/>
        </w:rPr>
        <w:t>Sections 1.01 and 1.02</w:t>
      </w:r>
      <w:r w:rsidR="009C1214" w:rsidRPr="00210111">
        <w:rPr>
          <w:rStyle w:val="Fotnotereferanse"/>
          <w:rFonts w:ascii="Times New Roman" w:hAnsi="Times New Roman" w:cs="Times New Roman"/>
          <w:sz w:val="24"/>
        </w:rPr>
        <w:footnoteReference w:id="3"/>
      </w:r>
      <w:r w:rsidR="009C1214" w:rsidRPr="00210111">
        <w:rPr>
          <w:rFonts w:ascii="Times New Roman" w:hAnsi="Times New Roman" w:cs="Times New Roman"/>
          <w:sz w:val="24"/>
        </w:rPr>
        <w:t xml:space="preserve"> of the General Conditions </w:t>
      </w:r>
      <w:r w:rsidR="000833C9" w:rsidRPr="00210111">
        <w:rPr>
          <w:rFonts w:ascii="Times New Roman" w:hAnsi="Times New Roman" w:cs="Times New Roman"/>
          <w:sz w:val="24"/>
        </w:rPr>
        <w:t xml:space="preserve">and Section 1.02 of the Commercial Terms </w:t>
      </w:r>
      <w:r w:rsidR="009C1214" w:rsidRPr="00210111">
        <w:rPr>
          <w:rFonts w:ascii="Times New Roman" w:hAnsi="Times New Roman" w:cs="Times New Roman"/>
          <w:sz w:val="24"/>
        </w:rPr>
        <w:lastRenderedPageBreak/>
        <w:t xml:space="preserve">make clear that if incorporated into an ERPA, the confidentiality provisions of Section 10.02 of the Commercial Terms trump the disclosure provisions of 18.07(a).  This contractual framework sends </w:t>
      </w:r>
      <w:r w:rsidRPr="00210111">
        <w:rPr>
          <w:rFonts w:ascii="Times New Roman" w:hAnsi="Times New Roman" w:cs="Times New Roman"/>
          <w:sz w:val="24"/>
        </w:rPr>
        <w:t>the wrong signal to ER Program proponents about the</w:t>
      </w:r>
      <w:r w:rsidR="003E5CCA" w:rsidRPr="00210111">
        <w:rPr>
          <w:rFonts w:ascii="Times New Roman" w:hAnsi="Times New Roman" w:cs="Times New Roman"/>
          <w:sz w:val="24"/>
        </w:rPr>
        <w:t xml:space="preserve"> critical</w:t>
      </w:r>
      <w:r w:rsidRPr="00210111">
        <w:rPr>
          <w:rFonts w:ascii="Times New Roman" w:hAnsi="Times New Roman" w:cs="Times New Roman"/>
          <w:sz w:val="24"/>
        </w:rPr>
        <w:t xml:space="preserve"> importance of having the draft commercial terms of ERPA, the ERPA itself, and all of the related safeguard, benefit sharing and monitoring arrangements</w:t>
      </w:r>
      <w:r w:rsidR="009C1214" w:rsidRPr="00210111">
        <w:rPr>
          <w:rFonts w:ascii="Times New Roman" w:hAnsi="Times New Roman" w:cs="Times New Roman"/>
          <w:sz w:val="24"/>
        </w:rPr>
        <w:t xml:space="preserve">, and monitoring </w:t>
      </w:r>
      <w:r w:rsidR="008D3B99" w:rsidRPr="00210111">
        <w:rPr>
          <w:rFonts w:ascii="Times New Roman" w:hAnsi="Times New Roman" w:cs="Times New Roman"/>
          <w:sz w:val="24"/>
        </w:rPr>
        <w:t xml:space="preserve">and verification </w:t>
      </w:r>
      <w:r w:rsidR="009C1214" w:rsidRPr="00210111">
        <w:rPr>
          <w:rFonts w:ascii="Times New Roman" w:hAnsi="Times New Roman" w:cs="Times New Roman"/>
          <w:sz w:val="24"/>
        </w:rPr>
        <w:t>reports</w:t>
      </w:r>
      <w:r w:rsidRPr="00210111">
        <w:rPr>
          <w:rFonts w:ascii="Times New Roman" w:hAnsi="Times New Roman" w:cs="Times New Roman"/>
          <w:sz w:val="24"/>
        </w:rPr>
        <w:t xml:space="preserve"> in the public domain during the time the program is being designed</w:t>
      </w:r>
      <w:r w:rsidR="009C1214" w:rsidRPr="00210111">
        <w:rPr>
          <w:rFonts w:ascii="Times New Roman" w:hAnsi="Times New Roman" w:cs="Times New Roman"/>
          <w:sz w:val="24"/>
        </w:rPr>
        <w:t>,</w:t>
      </w:r>
      <w:r w:rsidRPr="00210111">
        <w:rPr>
          <w:rFonts w:ascii="Times New Roman" w:hAnsi="Times New Roman" w:cs="Times New Roman"/>
          <w:sz w:val="24"/>
        </w:rPr>
        <w:t xml:space="preserve"> </w:t>
      </w:r>
      <w:r w:rsidR="006D58EE" w:rsidRPr="00210111">
        <w:rPr>
          <w:rFonts w:ascii="Times New Roman" w:hAnsi="Times New Roman" w:cs="Times New Roman"/>
          <w:sz w:val="24"/>
        </w:rPr>
        <w:t>when</w:t>
      </w:r>
      <w:r w:rsidRPr="00210111">
        <w:rPr>
          <w:rFonts w:ascii="Times New Roman" w:hAnsi="Times New Roman" w:cs="Times New Roman"/>
          <w:sz w:val="24"/>
        </w:rPr>
        <w:t xml:space="preserve"> participating/affected stakeholders</w:t>
      </w:r>
      <w:r w:rsidR="006D58EE" w:rsidRPr="00210111">
        <w:rPr>
          <w:rFonts w:ascii="Times New Roman" w:hAnsi="Times New Roman" w:cs="Times New Roman"/>
          <w:sz w:val="24"/>
        </w:rPr>
        <w:t xml:space="preserve"> are being consulted,</w:t>
      </w:r>
      <w:r w:rsidR="009C1214" w:rsidRPr="00210111">
        <w:rPr>
          <w:rFonts w:ascii="Times New Roman" w:hAnsi="Times New Roman" w:cs="Times New Roman"/>
          <w:sz w:val="24"/>
        </w:rPr>
        <w:t xml:space="preserve"> as well as during the im</w:t>
      </w:r>
      <w:r w:rsidR="006D58EE" w:rsidRPr="00210111">
        <w:rPr>
          <w:rFonts w:ascii="Times New Roman" w:hAnsi="Times New Roman" w:cs="Times New Roman"/>
          <w:sz w:val="24"/>
        </w:rPr>
        <w:t>plementation of the ER Program</w:t>
      </w:r>
      <w:r w:rsidRPr="00210111">
        <w:rPr>
          <w:rFonts w:ascii="Times New Roman" w:hAnsi="Times New Roman" w:cs="Times New Roman"/>
          <w:sz w:val="24"/>
        </w:rPr>
        <w:t xml:space="preserve">. </w:t>
      </w:r>
    </w:p>
    <w:p w:rsidR="00521427" w:rsidRPr="00210111" w:rsidRDefault="00521427" w:rsidP="00210111">
      <w:pPr>
        <w:jc w:val="both"/>
        <w:rPr>
          <w:rFonts w:ascii="Times New Roman" w:hAnsi="Times New Roman" w:cs="Times New Roman"/>
          <w:sz w:val="24"/>
        </w:rPr>
      </w:pPr>
      <w:r w:rsidRPr="00210111">
        <w:rPr>
          <w:rFonts w:ascii="Times New Roman" w:hAnsi="Times New Roman" w:cs="Times New Roman"/>
          <w:b/>
          <w:sz w:val="24"/>
        </w:rPr>
        <w:t>Solution:</w:t>
      </w:r>
      <w:r w:rsidRPr="00210111">
        <w:rPr>
          <w:rFonts w:ascii="Times New Roman" w:hAnsi="Times New Roman" w:cs="Times New Roman"/>
          <w:sz w:val="24"/>
        </w:rPr>
        <w:t xml:space="preserve"> This can be solved by changing the language </w:t>
      </w:r>
      <w:r w:rsidR="006D58EE" w:rsidRPr="00210111">
        <w:rPr>
          <w:rFonts w:ascii="Times New Roman" w:hAnsi="Times New Roman" w:cs="Times New Roman"/>
          <w:sz w:val="24"/>
        </w:rPr>
        <w:t xml:space="preserve">of Section 10.02 of the Commercial Terms </w:t>
      </w:r>
      <w:r w:rsidRPr="00210111">
        <w:rPr>
          <w:rFonts w:ascii="Times New Roman" w:hAnsi="Times New Roman" w:cs="Times New Roman"/>
          <w:sz w:val="24"/>
        </w:rPr>
        <w:t>as follows:</w:t>
      </w:r>
    </w:p>
    <w:p w:rsidR="00C74542" w:rsidRPr="00210111" w:rsidRDefault="00521427" w:rsidP="00210111">
      <w:pPr>
        <w:pStyle w:val="Default"/>
        <w:ind w:left="720"/>
        <w:jc w:val="both"/>
        <w:rPr>
          <w:i/>
        </w:rPr>
      </w:pPr>
      <w:r w:rsidRPr="00210111">
        <w:rPr>
          <w:i/>
        </w:rPr>
        <w:t>Consistent with Section 18.07 (a) and (b) of the General Conditions, all information disclosed by the parties in the commercial negotiation leading to the ERPA, and the ERPA itself,</w:t>
      </w:r>
      <w:r w:rsidR="006D58EE" w:rsidRPr="00210111">
        <w:rPr>
          <w:i/>
        </w:rPr>
        <w:t xml:space="preserve"> </w:t>
      </w:r>
      <w:r w:rsidRPr="00210111">
        <w:rPr>
          <w:i/>
        </w:rPr>
        <w:t>will be made public</w:t>
      </w:r>
      <w:r w:rsidR="006D58EE" w:rsidRPr="00210111">
        <w:rPr>
          <w:i/>
        </w:rPr>
        <w:t>,</w:t>
      </w:r>
      <w:r w:rsidRPr="00210111">
        <w:rPr>
          <w:i/>
        </w:rPr>
        <w:t xml:space="preserve"> unless</w:t>
      </w:r>
      <w:r w:rsidR="006D58EE" w:rsidRPr="00210111">
        <w:rPr>
          <w:i/>
        </w:rPr>
        <w:t xml:space="preserve"> </w:t>
      </w:r>
      <w:r w:rsidRPr="00210111">
        <w:rPr>
          <w:i/>
          <w:color w:val="auto"/>
        </w:rPr>
        <w:t xml:space="preserve">at the time of disclosure the ER Program </w:t>
      </w:r>
      <w:r w:rsidR="003E5CCA" w:rsidRPr="00210111">
        <w:rPr>
          <w:i/>
          <w:color w:val="auto"/>
        </w:rPr>
        <w:t xml:space="preserve">Proponent </w:t>
      </w:r>
      <w:r w:rsidRPr="00210111">
        <w:rPr>
          <w:i/>
          <w:color w:val="auto"/>
        </w:rPr>
        <w:t xml:space="preserve">has </w:t>
      </w:r>
      <w:r w:rsidR="003E5CCA" w:rsidRPr="00210111">
        <w:rPr>
          <w:i/>
          <w:color w:val="auto"/>
        </w:rPr>
        <w:t>presented a well-reasoned rationale for non-disclosure and this reason has been accepted by the Trustee as consistent with World Bank’s Access to Information Policy</w:t>
      </w:r>
      <w:r w:rsidR="006D58EE" w:rsidRPr="00210111">
        <w:rPr>
          <w:i/>
          <w:color w:val="auto"/>
        </w:rPr>
        <w:t xml:space="preserve"> </w:t>
      </w:r>
      <w:r w:rsidR="000A10D9" w:rsidRPr="00210111">
        <w:rPr>
          <w:i/>
          <w:color w:val="auto"/>
        </w:rPr>
        <w:t>(“</w:t>
      </w:r>
      <w:r w:rsidR="000A10D9" w:rsidRPr="00210111">
        <w:rPr>
          <w:bCs/>
          <w:i/>
          <w:color w:val="auto"/>
        </w:rPr>
        <w:t>Confidential Information</w:t>
      </w:r>
      <w:r w:rsidR="000A10D9" w:rsidRPr="00210111">
        <w:rPr>
          <w:i/>
          <w:color w:val="auto"/>
        </w:rPr>
        <w:t>”)</w:t>
      </w:r>
      <w:r w:rsidR="003E5CCA" w:rsidRPr="00210111">
        <w:rPr>
          <w:i/>
          <w:color w:val="auto"/>
        </w:rPr>
        <w:t>.</w:t>
      </w:r>
      <w:r w:rsidR="006D58EE" w:rsidRPr="00210111">
        <w:rPr>
          <w:i/>
          <w:color w:val="auto"/>
        </w:rPr>
        <w:t xml:space="preserve"> Any Confidential Information</w:t>
      </w:r>
      <w:r w:rsidR="0012289D" w:rsidRPr="00210111">
        <w:rPr>
          <w:i/>
          <w:color w:val="auto"/>
        </w:rPr>
        <w:t xml:space="preserve"> accepted by the Trustee</w:t>
      </w:r>
      <w:r w:rsidR="0012289D" w:rsidRPr="00210111">
        <w:rPr>
          <w:i/>
          <w:color w:val="auto"/>
          <w:szCs w:val="22"/>
        </w:rPr>
        <w:t xml:space="preserve"> </w:t>
      </w:r>
      <w:r w:rsidR="000A10D9" w:rsidRPr="00210111">
        <w:rPr>
          <w:i/>
          <w:color w:val="auto"/>
          <w:szCs w:val="22"/>
        </w:rPr>
        <w:t xml:space="preserve">shall be kept confidential and not be disclosed unless: </w:t>
      </w:r>
      <w:r w:rsidR="0012289D" w:rsidRPr="00210111">
        <w:rPr>
          <w:i/>
        </w:rPr>
        <w:t>[Same as existing Section 10.02 of the Commercial Terms]</w:t>
      </w:r>
    </w:p>
    <w:p w:rsidR="00FD05E2" w:rsidRPr="00210111" w:rsidRDefault="00FD05E2" w:rsidP="00210111">
      <w:pPr>
        <w:pStyle w:val="Default"/>
        <w:ind w:left="720"/>
        <w:rPr>
          <w:i/>
        </w:rPr>
      </w:pPr>
    </w:p>
    <w:p w:rsidR="00521427" w:rsidRPr="00210111" w:rsidRDefault="00521427" w:rsidP="00210111">
      <w:pPr>
        <w:jc w:val="both"/>
        <w:rPr>
          <w:rFonts w:ascii="Times New Roman" w:hAnsi="Times New Roman" w:cs="Times New Roman"/>
          <w:b/>
          <w:sz w:val="24"/>
        </w:rPr>
      </w:pPr>
      <w:r w:rsidRPr="00210111">
        <w:rPr>
          <w:rFonts w:ascii="Times New Roman" w:hAnsi="Times New Roman" w:cs="Times New Roman"/>
          <w:b/>
          <w:sz w:val="24"/>
        </w:rPr>
        <w:t>2) Submission of safeguard plans with the broad community support and/or free prior informed consent of affected communities</w:t>
      </w:r>
    </w:p>
    <w:p w:rsidR="003C01A7" w:rsidRPr="00210111" w:rsidRDefault="00550D42" w:rsidP="00210111">
      <w:pPr>
        <w:jc w:val="both"/>
        <w:rPr>
          <w:rFonts w:ascii="Times New Roman" w:hAnsi="Times New Roman" w:cs="Times New Roman"/>
          <w:sz w:val="24"/>
        </w:rPr>
      </w:pPr>
      <w:r w:rsidRPr="00210111">
        <w:rPr>
          <w:rFonts w:ascii="Times New Roman" w:hAnsi="Times New Roman" w:cs="Times New Roman"/>
          <w:b/>
          <w:sz w:val="24"/>
        </w:rPr>
        <w:t>Problem:</w:t>
      </w:r>
      <w:r w:rsidRPr="00210111">
        <w:rPr>
          <w:rFonts w:ascii="Times New Roman" w:hAnsi="Times New Roman" w:cs="Times New Roman"/>
          <w:sz w:val="24"/>
        </w:rPr>
        <w:t xml:space="preserve"> </w:t>
      </w:r>
      <w:r w:rsidR="003C01A7" w:rsidRPr="00210111">
        <w:rPr>
          <w:rFonts w:ascii="Times New Roman" w:hAnsi="Times New Roman" w:cs="Times New Roman"/>
          <w:sz w:val="24"/>
        </w:rPr>
        <w:t xml:space="preserve">Disclosure of </w:t>
      </w:r>
      <w:r w:rsidR="0012289D" w:rsidRPr="00210111">
        <w:rPr>
          <w:rFonts w:ascii="Times New Roman" w:hAnsi="Times New Roman" w:cs="Times New Roman"/>
          <w:sz w:val="24"/>
        </w:rPr>
        <w:t xml:space="preserve">the final </w:t>
      </w:r>
      <w:r w:rsidR="003C01A7" w:rsidRPr="00210111">
        <w:rPr>
          <w:rFonts w:ascii="Times New Roman" w:hAnsi="Times New Roman" w:cs="Times New Roman"/>
          <w:sz w:val="24"/>
        </w:rPr>
        <w:t>safeguards</w:t>
      </w:r>
      <w:r w:rsidR="0012289D" w:rsidRPr="00210111">
        <w:rPr>
          <w:rFonts w:ascii="Times New Roman" w:hAnsi="Times New Roman" w:cs="Times New Roman"/>
          <w:sz w:val="24"/>
        </w:rPr>
        <w:t xml:space="preserve"> plan</w:t>
      </w:r>
      <w:r w:rsidR="000833C9" w:rsidRPr="00210111">
        <w:rPr>
          <w:rFonts w:ascii="Times New Roman" w:hAnsi="Times New Roman" w:cs="Times New Roman"/>
          <w:sz w:val="24"/>
        </w:rPr>
        <w:t xml:space="preserve"> </w:t>
      </w:r>
      <w:r w:rsidR="003C01A7" w:rsidRPr="00210111">
        <w:rPr>
          <w:rFonts w:ascii="Times New Roman" w:hAnsi="Times New Roman" w:cs="Times New Roman"/>
          <w:sz w:val="24"/>
        </w:rPr>
        <w:t xml:space="preserve">and </w:t>
      </w:r>
      <w:r w:rsidR="0012289D" w:rsidRPr="00210111">
        <w:rPr>
          <w:rFonts w:ascii="Times New Roman" w:hAnsi="Times New Roman" w:cs="Times New Roman"/>
          <w:sz w:val="24"/>
        </w:rPr>
        <w:t xml:space="preserve">the </w:t>
      </w:r>
      <w:r w:rsidR="003C01A7" w:rsidRPr="00210111">
        <w:rPr>
          <w:rFonts w:ascii="Times New Roman" w:hAnsi="Times New Roman" w:cs="Times New Roman"/>
          <w:sz w:val="24"/>
        </w:rPr>
        <w:t xml:space="preserve">benefit sharing plans with affected communities </w:t>
      </w:r>
      <w:r w:rsidR="0012289D" w:rsidRPr="00210111">
        <w:rPr>
          <w:rFonts w:ascii="Times New Roman" w:hAnsi="Times New Roman" w:cs="Times New Roman"/>
          <w:sz w:val="24"/>
        </w:rPr>
        <w:t>are</w:t>
      </w:r>
      <w:r w:rsidR="003C01A7" w:rsidRPr="00210111">
        <w:rPr>
          <w:rFonts w:ascii="Times New Roman" w:hAnsi="Times New Roman" w:cs="Times New Roman"/>
          <w:sz w:val="24"/>
        </w:rPr>
        <w:t xml:space="preserve"> prerequisite</w:t>
      </w:r>
      <w:r w:rsidR="0012289D" w:rsidRPr="00210111">
        <w:rPr>
          <w:rFonts w:ascii="Times New Roman" w:hAnsi="Times New Roman" w:cs="Times New Roman"/>
          <w:sz w:val="24"/>
        </w:rPr>
        <w:t>s</w:t>
      </w:r>
      <w:r w:rsidR="003C01A7" w:rsidRPr="00210111">
        <w:rPr>
          <w:rFonts w:ascii="Times New Roman" w:hAnsi="Times New Roman" w:cs="Times New Roman"/>
          <w:sz w:val="24"/>
        </w:rPr>
        <w:t xml:space="preserve"> for</w:t>
      </w:r>
      <w:r w:rsidR="0012289D" w:rsidRPr="00210111">
        <w:rPr>
          <w:rFonts w:ascii="Times New Roman" w:hAnsi="Times New Roman" w:cs="Times New Roman"/>
          <w:sz w:val="24"/>
        </w:rPr>
        <w:t xml:space="preserve"> the</w:t>
      </w:r>
      <w:r w:rsidR="003C01A7" w:rsidRPr="00210111">
        <w:rPr>
          <w:rFonts w:ascii="Times New Roman" w:hAnsi="Times New Roman" w:cs="Times New Roman"/>
          <w:sz w:val="24"/>
        </w:rPr>
        <w:t xml:space="preserve"> effective negotiation of ERPA’s. </w:t>
      </w:r>
      <w:r w:rsidR="0012289D" w:rsidRPr="00210111">
        <w:rPr>
          <w:rFonts w:ascii="Times New Roman" w:hAnsi="Times New Roman" w:cs="Times New Roman"/>
          <w:sz w:val="24"/>
        </w:rPr>
        <w:t>In the Methodological Framework</w:t>
      </w:r>
      <w:r w:rsidR="000833C9" w:rsidRPr="00210111">
        <w:rPr>
          <w:rFonts w:ascii="Times New Roman" w:hAnsi="Times New Roman" w:cs="Times New Roman"/>
          <w:sz w:val="24"/>
        </w:rPr>
        <w:t>, t</w:t>
      </w:r>
      <w:r w:rsidR="003C01A7" w:rsidRPr="00210111">
        <w:rPr>
          <w:rFonts w:ascii="Times New Roman" w:hAnsi="Times New Roman" w:cs="Times New Roman"/>
          <w:sz w:val="24"/>
        </w:rPr>
        <w:t>hose plans are required to be developed in consultation with affected communities</w:t>
      </w:r>
      <w:r w:rsidR="00C74542">
        <w:rPr>
          <w:rFonts w:ascii="Times New Roman" w:hAnsi="Times New Roman" w:cs="Times New Roman"/>
          <w:sz w:val="24"/>
        </w:rPr>
        <w:t>.</w:t>
      </w:r>
      <w:r w:rsidR="00F23FF3" w:rsidRPr="00210111">
        <w:rPr>
          <w:rFonts w:ascii="Times New Roman" w:hAnsi="Times New Roman" w:cs="Times New Roman"/>
          <w:sz w:val="24"/>
        </w:rPr>
        <w:t xml:space="preserve"> </w:t>
      </w:r>
      <w:r w:rsidR="00C74542">
        <w:rPr>
          <w:rFonts w:ascii="Times New Roman" w:hAnsi="Times New Roman" w:cs="Times New Roman"/>
          <w:sz w:val="24"/>
        </w:rPr>
        <w:t>I</w:t>
      </w:r>
      <w:r w:rsidR="00F23FF3" w:rsidRPr="00210111">
        <w:rPr>
          <w:rFonts w:ascii="Times New Roman" w:hAnsi="Times New Roman" w:cs="Times New Roman"/>
          <w:sz w:val="24"/>
        </w:rPr>
        <w:t xml:space="preserve">n the General Conditions </w:t>
      </w:r>
      <w:r w:rsidR="00C74542">
        <w:rPr>
          <w:rFonts w:ascii="Times New Roman" w:hAnsi="Times New Roman" w:cs="Times New Roman"/>
          <w:sz w:val="24"/>
        </w:rPr>
        <w:t>they</w:t>
      </w:r>
      <w:r w:rsidR="00F23FF3" w:rsidRPr="00210111">
        <w:rPr>
          <w:rFonts w:ascii="Times New Roman" w:hAnsi="Times New Roman" w:cs="Times New Roman"/>
          <w:sz w:val="24"/>
        </w:rPr>
        <w:t xml:space="preserve"> can be delayed until the project proponent wants to sell their emissions reductions credits (ERs) to the Carbon Fund. I</w:t>
      </w:r>
      <w:r w:rsidRPr="00210111">
        <w:rPr>
          <w:rFonts w:ascii="Times New Roman" w:hAnsi="Times New Roman" w:cs="Times New Roman"/>
          <w:sz w:val="24"/>
        </w:rPr>
        <w:t xml:space="preserve">n many cases </w:t>
      </w:r>
      <w:r w:rsidR="00F23FF3" w:rsidRPr="00210111">
        <w:rPr>
          <w:rFonts w:ascii="Times New Roman" w:hAnsi="Times New Roman" w:cs="Times New Roman"/>
          <w:sz w:val="24"/>
        </w:rPr>
        <w:t xml:space="preserve">preparation of these plans </w:t>
      </w:r>
      <w:r w:rsidRPr="00210111">
        <w:rPr>
          <w:rFonts w:ascii="Times New Roman" w:hAnsi="Times New Roman" w:cs="Times New Roman"/>
          <w:sz w:val="24"/>
        </w:rPr>
        <w:t>will require  broad community support and</w:t>
      </w:r>
      <w:r w:rsidR="000833C9" w:rsidRPr="00210111">
        <w:rPr>
          <w:rFonts w:ascii="Times New Roman" w:hAnsi="Times New Roman" w:cs="Times New Roman"/>
          <w:sz w:val="24"/>
        </w:rPr>
        <w:t>/</w:t>
      </w:r>
      <w:r w:rsidRPr="00210111">
        <w:rPr>
          <w:rFonts w:ascii="Times New Roman" w:hAnsi="Times New Roman" w:cs="Times New Roman"/>
          <w:sz w:val="24"/>
        </w:rPr>
        <w:t xml:space="preserve">or free prior informed consent. </w:t>
      </w:r>
      <w:r w:rsidR="000833C9" w:rsidRPr="00210111">
        <w:rPr>
          <w:rFonts w:ascii="Times New Roman" w:hAnsi="Times New Roman" w:cs="Times New Roman"/>
          <w:sz w:val="24"/>
        </w:rPr>
        <w:t xml:space="preserve"> </w:t>
      </w:r>
      <w:r w:rsidRPr="00210111">
        <w:rPr>
          <w:rFonts w:ascii="Times New Roman" w:hAnsi="Times New Roman" w:cs="Times New Roman"/>
          <w:sz w:val="24"/>
        </w:rPr>
        <w:t xml:space="preserve">Such consultation and negotiation requires that the plans are disclosed to affected/participating communities in languages and forms understandable to them, and at an early stage of ER Program design.  Additionally any sub-project agreements, arrangements or similar, which may involve transfer of rights to carbon from communities/owners of land/forest to ER Program entities, to be understood and negotiated in good faith, require a clear understanding of the safeguard and benefit sharing arrangements, and the monitoring and recourse mechanisms included in them. </w:t>
      </w:r>
      <w:r w:rsidR="000833C9" w:rsidRPr="00210111">
        <w:rPr>
          <w:rFonts w:ascii="Times New Roman" w:hAnsi="Times New Roman" w:cs="Times New Roman"/>
          <w:sz w:val="24"/>
        </w:rPr>
        <w:t xml:space="preserve">However, Footnotes 1 and 3 of the Commercial Terms (page 14) allow the preparation of these documents to be delayed </w:t>
      </w:r>
      <w:r w:rsidR="008D3B99" w:rsidRPr="00210111">
        <w:rPr>
          <w:rFonts w:ascii="Times New Roman" w:hAnsi="Times New Roman" w:cs="Times New Roman"/>
          <w:sz w:val="24"/>
        </w:rPr>
        <w:t xml:space="preserve">until up to the time of sale of the Emissions Reductions Credits.  </w:t>
      </w:r>
      <w:r w:rsidRPr="00210111">
        <w:rPr>
          <w:rFonts w:ascii="Times New Roman" w:hAnsi="Times New Roman" w:cs="Times New Roman"/>
          <w:sz w:val="24"/>
        </w:rPr>
        <w:t>Delaying the final version of these plans until ERPA signature, or worse</w:t>
      </w:r>
      <w:r w:rsidR="00F23FF3" w:rsidRPr="00210111">
        <w:rPr>
          <w:rFonts w:ascii="Times New Roman" w:hAnsi="Times New Roman" w:cs="Times New Roman"/>
          <w:sz w:val="24"/>
        </w:rPr>
        <w:t xml:space="preserve"> after the ERPA is </w:t>
      </w:r>
      <w:r w:rsidR="00F23FF3" w:rsidRPr="00210111">
        <w:rPr>
          <w:rFonts w:ascii="Times New Roman" w:hAnsi="Times New Roman" w:cs="Times New Roman"/>
          <w:sz w:val="24"/>
        </w:rPr>
        <w:lastRenderedPageBreak/>
        <w:t xml:space="preserve">signed and the project </w:t>
      </w:r>
      <w:r w:rsidR="00C74542">
        <w:rPr>
          <w:rFonts w:ascii="Times New Roman" w:hAnsi="Times New Roman" w:cs="Times New Roman"/>
          <w:sz w:val="24"/>
        </w:rPr>
        <w:t>i</w:t>
      </w:r>
      <w:r w:rsidR="00F23FF3" w:rsidRPr="00210111">
        <w:rPr>
          <w:rFonts w:ascii="Times New Roman" w:hAnsi="Times New Roman" w:cs="Times New Roman"/>
          <w:sz w:val="24"/>
        </w:rPr>
        <w:t>s already be</w:t>
      </w:r>
      <w:r w:rsidR="00C74542">
        <w:rPr>
          <w:rFonts w:ascii="Times New Roman" w:hAnsi="Times New Roman" w:cs="Times New Roman"/>
          <w:sz w:val="24"/>
        </w:rPr>
        <w:t>ing</w:t>
      </w:r>
      <w:r w:rsidR="00F23FF3" w:rsidRPr="00210111">
        <w:rPr>
          <w:rFonts w:ascii="Times New Roman" w:hAnsi="Times New Roman" w:cs="Times New Roman"/>
          <w:sz w:val="24"/>
        </w:rPr>
        <w:t xml:space="preserve"> implemented or </w:t>
      </w:r>
      <w:r w:rsidRPr="00210111">
        <w:rPr>
          <w:rFonts w:ascii="Times New Roman" w:hAnsi="Times New Roman" w:cs="Times New Roman"/>
          <w:sz w:val="24"/>
        </w:rPr>
        <w:t>making them conditions of effectiveness</w:t>
      </w:r>
      <w:r w:rsidR="00F23FF3" w:rsidRPr="00210111">
        <w:rPr>
          <w:rFonts w:ascii="Times New Roman" w:hAnsi="Times New Roman" w:cs="Times New Roman"/>
          <w:sz w:val="24"/>
        </w:rPr>
        <w:t xml:space="preserve"> will be highly detrimental to indigenous peoples and forest dependant communities</w:t>
      </w:r>
      <w:r w:rsidR="008D3B99" w:rsidRPr="00210111">
        <w:rPr>
          <w:rFonts w:ascii="Times New Roman" w:hAnsi="Times New Roman" w:cs="Times New Roman"/>
          <w:sz w:val="24"/>
        </w:rPr>
        <w:t xml:space="preserve"> unless the indigenous people and forest dependant people and other </w:t>
      </w:r>
      <w:r w:rsidR="00C74542">
        <w:rPr>
          <w:rFonts w:ascii="Times New Roman" w:hAnsi="Times New Roman" w:cs="Times New Roman"/>
          <w:sz w:val="24"/>
        </w:rPr>
        <w:t>s</w:t>
      </w:r>
      <w:r w:rsidR="008D3B99" w:rsidRPr="00210111">
        <w:rPr>
          <w:rFonts w:ascii="Times New Roman" w:hAnsi="Times New Roman" w:cs="Times New Roman"/>
          <w:sz w:val="24"/>
        </w:rPr>
        <w:t>takeholders affected by the ER Program have been actively consulted about these plans prior to the signing of the ERPA and during the negotiations and drafting of these plans</w:t>
      </w:r>
      <w:r w:rsidR="00F23FF3" w:rsidRPr="00210111">
        <w:rPr>
          <w:rFonts w:ascii="Times New Roman" w:hAnsi="Times New Roman" w:cs="Times New Roman"/>
          <w:sz w:val="24"/>
        </w:rPr>
        <w:t>. W</w:t>
      </w:r>
      <w:r w:rsidRPr="00210111">
        <w:rPr>
          <w:rFonts w:ascii="Times New Roman" w:hAnsi="Times New Roman" w:cs="Times New Roman"/>
          <w:sz w:val="24"/>
        </w:rPr>
        <w:t xml:space="preserve">hile </w:t>
      </w:r>
      <w:r w:rsidR="00F23FF3" w:rsidRPr="00210111">
        <w:rPr>
          <w:rFonts w:ascii="Times New Roman" w:hAnsi="Times New Roman" w:cs="Times New Roman"/>
          <w:sz w:val="24"/>
        </w:rPr>
        <w:t xml:space="preserve">some delay beyond signing the ERPA may be </w:t>
      </w:r>
      <w:r w:rsidRPr="00210111">
        <w:rPr>
          <w:rFonts w:ascii="Times New Roman" w:hAnsi="Times New Roman" w:cs="Times New Roman"/>
          <w:sz w:val="24"/>
        </w:rPr>
        <w:t xml:space="preserve">possibly necessary in some </w:t>
      </w:r>
      <w:r w:rsidR="00F23FF3" w:rsidRPr="00210111">
        <w:rPr>
          <w:rFonts w:ascii="Times New Roman" w:hAnsi="Times New Roman" w:cs="Times New Roman"/>
          <w:sz w:val="24"/>
        </w:rPr>
        <w:t xml:space="preserve">very limited </w:t>
      </w:r>
      <w:r w:rsidRPr="00210111">
        <w:rPr>
          <w:rFonts w:ascii="Times New Roman" w:hAnsi="Times New Roman" w:cs="Times New Roman"/>
          <w:sz w:val="24"/>
        </w:rPr>
        <w:t xml:space="preserve">cases, </w:t>
      </w:r>
      <w:r w:rsidR="00471DA5" w:rsidRPr="00210111">
        <w:rPr>
          <w:rFonts w:ascii="Times New Roman" w:hAnsi="Times New Roman" w:cs="Times New Roman"/>
          <w:sz w:val="24"/>
        </w:rPr>
        <w:t xml:space="preserve">such a delay </w:t>
      </w:r>
      <w:r w:rsidRPr="00210111">
        <w:rPr>
          <w:rFonts w:ascii="Times New Roman" w:hAnsi="Times New Roman" w:cs="Times New Roman"/>
          <w:sz w:val="24"/>
        </w:rPr>
        <w:t>should be a clear last resort measure and in and of itself should raise red flags about the quality and inclusiveness of the ER Program design phase</w:t>
      </w:r>
      <w:r w:rsidR="008D3B99" w:rsidRPr="00210111">
        <w:rPr>
          <w:rFonts w:ascii="Times New Roman" w:hAnsi="Times New Roman" w:cs="Times New Roman"/>
          <w:sz w:val="24"/>
        </w:rPr>
        <w:t xml:space="preserve"> and stakeholder engagement process</w:t>
      </w:r>
      <w:r w:rsidRPr="00210111">
        <w:rPr>
          <w:rFonts w:ascii="Times New Roman" w:hAnsi="Times New Roman" w:cs="Times New Roman"/>
          <w:sz w:val="24"/>
        </w:rPr>
        <w:t xml:space="preserve">. </w:t>
      </w:r>
    </w:p>
    <w:p w:rsidR="00550D42" w:rsidRPr="00210111" w:rsidRDefault="00550D42" w:rsidP="00210111">
      <w:pPr>
        <w:jc w:val="both"/>
        <w:rPr>
          <w:rFonts w:ascii="Times New Roman" w:hAnsi="Times New Roman" w:cs="Times New Roman"/>
          <w:b/>
          <w:sz w:val="24"/>
        </w:rPr>
      </w:pPr>
      <w:r w:rsidRPr="00210111">
        <w:rPr>
          <w:rFonts w:ascii="Times New Roman" w:hAnsi="Times New Roman" w:cs="Times New Roman"/>
          <w:b/>
          <w:sz w:val="24"/>
        </w:rPr>
        <w:t xml:space="preserve">Solutions: </w:t>
      </w:r>
    </w:p>
    <w:p w:rsidR="00C74542" w:rsidRDefault="007B4A49" w:rsidP="00210111">
      <w:pPr>
        <w:jc w:val="both"/>
        <w:rPr>
          <w:rFonts w:ascii="Times New Roman" w:hAnsi="Times New Roman" w:cs="Times New Roman"/>
          <w:sz w:val="24"/>
        </w:rPr>
      </w:pPr>
      <w:r w:rsidRPr="00210111">
        <w:rPr>
          <w:rFonts w:ascii="Times New Roman" w:hAnsi="Times New Roman" w:cs="Times New Roman"/>
          <w:sz w:val="24"/>
        </w:rPr>
        <w:t xml:space="preserve">In Schedule 1 of the ERPA </w:t>
      </w:r>
      <w:r w:rsidR="00471DA5" w:rsidRPr="00210111">
        <w:rPr>
          <w:rFonts w:ascii="Times New Roman" w:hAnsi="Times New Roman" w:cs="Times New Roman"/>
          <w:sz w:val="24"/>
        </w:rPr>
        <w:t>Commercial Terms</w:t>
      </w:r>
      <w:r w:rsidRPr="00210111">
        <w:rPr>
          <w:rFonts w:ascii="Times New Roman" w:hAnsi="Times New Roman" w:cs="Times New Roman"/>
          <w:sz w:val="24"/>
        </w:rPr>
        <w:t xml:space="preserve">, Footnote 1 (p.14) should be amended as follows to ensure consistency with the Disclosure Guidance for the CF: </w:t>
      </w:r>
    </w:p>
    <w:p w:rsidR="007B4A49" w:rsidRPr="00210111" w:rsidRDefault="007B4A49" w:rsidP="00210111">
      <w:pPr>
        <w:ind w:left="720"/>
        <w:jc w:val="both"/>
        <w:rPr>
          <w:rFonts w:ascii="Times New Roman" w:hAnsi="Times New Roman" w:cs="Times New Roman"/>
          <w:sz w:val="24"/>
        </w:rPr>
      </w:pPr>
      <w:r w:rsidRPr="00210111">
        <w:rPr>
          <w:rFonts w:ascii="Times New Roman" w:hAnsi="Times New Roman" w:cs="Times New Roman"/>
          <w:i/>
          <w:sz w:val="24"/>
        </w:rPr>
        <w:t xml:space="preserve">In any case, advanced draft versions of such benefit sharing plans, </w:t>
      </w:r>
      <w:r w:rsidR="008D3B99" w:rsidRPr="00210111">
        <w:rPr>
          <w:rFonts w:ascii="Times New Roman" w:hAnsi="Times New Roman" w:cs="Times New Roman"/>
          <w:i/>
          <w:sz w:val="24"/>
        </w:rPr>
        <w:t xml:space="preserve"> together with documentation that the stakeholder engagement process has been carried out in accordance with the Methodological Framework</w:t>
      </w:r>
      <w:r w:rsidR="00302141" w:rsidRPr="00210111">
        <w:rPr>
          <w:rFonts w:ascii="Times New Roman" w:hAnsi="Times New Roman" w:cs="Times New Roman"/>
          <w:i/>
          <w:sz w:val="24"/>
        </w:rPr>
        <w:t>,</w:t>
      </w:r>
      <w:r w:rsidRPr="00210111">
        <w:rPr>
          <w:rFonts w:ascii="Times New Roman" w:hAnsi="Times New Roman" w:cs="Times New Roman"/>
          <w:i/>
          <w:sz w:val="24"/>
        </w:rPr>
        <w:t xml:space="preserve"> </w:t>
      </w:r>
      <w:r w:rsidR="00302141" w:rsidRPr="00210111">
        <w:rPr>
          <w:rFonts w:ascii="Times New Roman" w:hAnsi="Times New Roman" w:cs="Times New Roman"/>
          <w:i/>
          <w:sz w:val="24"/>
        </w:rPr>
        <w:t>acceptable to the IBRD</w:t>
      </w:r>
      <w:r w:rsidR="00C74542">
        <w:rPr>
          <w:rFonts w:ascii="Times New Roman" w:hAnsi="Times New Roman" w:cs="Times New Roman"/>
          <w:i/>
          <w:sz w:val="24"/>
        </w:rPr>
        <w:t>,</w:t>
      </w:r>
      <w:r w:rsidR="00302141" w:rsidRPr="00210111">
        <w:rPr>
          <w:rFonts w:ascii="Times New Roman" w:hAnsi="Times New Roman" w:cs="Times New Roman"/>
          <w:i/>
          <w:sz w:val="24"/>
        </w:rPr>
        <w:t xml:space="preserve"> </w:t>
      </w:r>
      <w:r w:rsidRPr="00210111">
        <w:rPr>
          <w:rFonts w:ascii="Times New Roman" w:hAnsi="Times New Roman" w:cs="Times New Roman"/>
          <w:i/>
          <w:sz w:val="24"/>
        </w:rPr>
        <w:t xml:space="preserve">are required before appraisal begins and final plans </w:t>
      </w:r>
      <w:r w:rsidR="003C01A7" w:rsidRPr="00210111">
        <w:rPr>
          <w:rFonts w:ascii="Times New Roman" w:hAnsi="Times New Roman" w:cs="Times New Roman"/>
          <w:i/>
          <w:sz w:val="24"/>
        </w:rPr>
        <w:t>before ERPA signature</w:t>
      </w:r>
      <w:r w:rsidRPr="00210111">
        <w:rPr>
          <w:rFonts w:ascii="Times New Roman" w:hAnsi="Times New Roman" w:cs="Times New Roman"/>
          <w:i/>
          <w:sz w:val="24"/>
        </w:rPr>
        <w:t>.</w:t>
      </w:r>
    </w:p>
    <w:p w:rsidR="00C74542" w:rsidRDefault="007B4A49" w:rsidP="00210111">
      <w:pPr>
        <w:jc w:val="both"/>
        <w:rPr>
          <w:rFonts w:ascii="Times New Roman" w:hAnsi="Times New Roman" w:cs="Times New Roman"/>
          <w:sz w:val="24"/>
        </w:rPr>
      </w:pPr>
      <w:r w:rsidRPr="00210111">
        <w:rPr>
          <w:rFonts w:ascii="Times New Roman" w:hAnsi="Times New Roman" w:cs="Times New Roman"/>
          <w:sz w:val="24"/>
        </w:rPr>
        <w:t xml:space="preserve">In Schedule 1 of the ERPA </w:t>
      </w:r>
      <w:r w:rsidR="00FD05E2" w:rsidRPr="00210111">
        <w:rPr>
          <w:rFonts w:ascii="Times New Roman" w:hAnsi="Times New Roman" w:cs="Times New Roman"/>
          <w:sz w:val="24"/>
        </w:rPr>
        <w:t>Commercial Terms</w:t>
      </w:r>
      <w:r w:rsidRPr="00210111">
        <w:rPr>
          <w:rFonts w:ascii="Times New Roman" w:hAnsi="Times New Roman" w:cs="Times New Roman"/>
          <w:sz w:val="24"/>
        </w:rPr>
        <w:t xml:space="preserve">, Footnote 3 (p.14) should be amended as follows to ensure consistency with the Disclosure Guidance for the CF:  </w:t>
      </w:r>
    </w:p>
    <w:p w:rsidR="007B4A49" w:rsidRPr="00210111" w:rsidRDefault="007B4A49" w:rsidP="00210111">
      <w:pPr>
        <w:ind w:left="720"/>
        <w:jc w:val="both"/>
        <w:rPr>
          <w:rFonts w:ascii="Times New Roman" w:hAnsi="Times New Roman" w:cs="Times New Roman"/>
          <w:sz w:val="24"/>
        </w:rPr>
      </w:pPr>
      <w:r w:rsidRPr="00210111">
        <w:rPr>
          <w:rFonts w:ascii="Times New Roman" w:hAnsi="Times New Roman" w:cs="Times New Roman"/>
          <w:i/>
          <w:sz w:val="24"/>
        </w:rPr>
        <w:t>In any case, advanced draft versions of such safeguard plans,</w:t>
      </w:r>
      <w:r w:rsidR="00302141" w:rsidRPr="00210111">
        <w:rPr>
          <w:rFonts w:ascii="Times New Roman" w:hAnsi="Times New Roman" w:cs="Times New Roman"/>
          <w:i/>
          <w:sz w:val="24"/>
        </w:rPr>
        <w:t xml:space="preserve">  together with documentation that the stakeholder engagement process has been carried out in accordance with the Methodological Framework and any stakeholder engagement process specific to the ER Program at issue, </w:t>
      </w:r>
      <w:r w:rsidRPr="00210111">
        <w:rPr>
          <w:rFonts w:ascii="Times New Roman" w:hAnsi="Times New Roman" w:cs="Times New Roman"/>
          <w:i/>
          <w:sz w:val="24"/>
        </w:rPr>
        <w:t>acceptable to the IBRD, are required at the time of appraisal and final plans no later than sixty days (in case of category A projects) or 30 days (in case of category B projects) before ERPA signing.</w:t>
      </w:r>
      <w:r w:rsidRPr="00210111">
        <w:rPr>
          <w:rFonts w:ascii="Times New Roman" w:hAnsi="Times New Roman" w:cs="Times New Roman"/>
          <w:sz w:val="24"/>
        </w:rPr>
        <w:t xml:space="preserve"> </w:t>
      </w:r>
    </w:p>
    <w:p w:rsidR="00650DC9" w:rsidRPr="00210111" w:rsidRDefault="00521427" w:rsidP="00210111">
      <w:pPr>
        <w:jc w:val="both"/>
        <w:rPr>
          <w:rFonts w:ascii="Times New Roman" w:hAnsi="Times New Roman" w:cs="Times New Roman"/>
          <w:b/>
          <w:sz w:val="24"/>
        </w:rPr>
      </w:pPr>
      <w:r w:rsidRPr="00210111">
        <w:rPr>
          <w:rFonts w:ascii="Times New Roman" w:hAnsi="Times New Roman" w:cs="Times New Roman"/>
          <w:b/>
          <w:sz w:val="24"/>
        </w:rPr>
        <w:t xml:space="preserve">3) </w:t>
      </w:r>
      <w:r w:rsidR="00302141" w:rsidRPr="00210111">
        <w:rPr>
          <w:rFonts w:ascii="Times New Roman" w:hAnsi="Times New Roman" w:cs="Times New Roman"/>
          <w:b/>
          <w:sz w:val="24"/>
        </w:rPr>
        <w:t>Title to</w:t>
      </w:r>
      <w:r w:rsidR="00650DC9" w:rsidRPr="00210111">
        <w:rPr>
          <w:rFonts w:ascii="Times New Roman" w:hAnsi="Times New Roman" w:cs="Times New Roman"/>
          <w:b/>
          <w:sz w:val="24"/>
        </w:rPr>
        <w:t xml:space="preserve"> Carbon Rights under C</w:t>
      </w:r>
      <w:r w:rsidR="00302141" w:rsidRPr="00210111">
        <w:rPr>
          <w:rFonts w:ascii="Times New Roman" w:hAnsi="Times New Roman" w:cs="Times New Roman"/>
          <w:b/>
          <w:sz w:val="24"/>
        </w:rPr>
        <w:t xml:space="preserve">arbon </w:t>
      </w:r>
      <w:r w:rsidR="00650DC9" w:rsidRPr="00210111">
        <w:rPr>
          <w:rFonts w:ascii="Times New Roman" w:hAnsi="Times New Roman" w:cs="Times New Roman"/>
          <w:b/>
          <w:sz w:val="24"/>
        </w:rPr>
        <w:t>F</w:t>
      </w:r>
      <w:r w:rsidR="00302141" w:rsidRPr="00210111">
        <w:rPr>
          <w:rFonts w:ascii="Times New Roman" w:hAnsi="Times New Roman" w:cs="Times New Roman"/>
          <w:b/>
          <w:sz w:val="24"/>
        </w:rPr>
        <w:t>und</w:t>
      </w:r>
      <w:r w:rsidR="00650DC9" w:rsidRPr="00210111">
        <w:rPr>
          <w:rFonts w:ascii="Times New Roman" w:hAnsi="Times New Roman" w:cs="Times New Roman"/>
          <w:b/>
          <w:sz w:val="24"/>
        </w:rPr>
        <w:t xml:space="preserve"> </w:t>
      </w:r>
      <w:r w:rsidR="00302141" w:rsidRPr="00210111">
        <w:rPr>
          <w:rFonts w:ascii="Times New Roman" w:hAnsi="Times New Roman" w:cs="Times New Roman"/>
          <w:b/>
          <w:sz w:val="24"/>
        </w:rPr>
        <w:t>F</w:t>
      </w:r>
      <w:r w:rsidR="00650DC9" w:rsidRPr="00210111">
        <w:rPr>
          <w:rFonts w:ascii="Times New Roman" w:hAnsi="Times New Roman" w:cs="Times New Roman"/>
          <w:b/>
          <w:sz w:val="24"/>
        </w:rPr>
        <w:t xml:space="preserve">unded </w:t>
      </w:r>
      <w:r w:rsidR="00302141" w:rsidRPr="00210111">
        <w:rPr>
          <w:rFonts w:ascii="Times New Roman" w:hAnsi="Times New Roman" w:cs="Times New Roman"/>
          <w:b/>
          <w:sz w:val="24"/>
        </w:rPr>
        <w:t>P</w:t>
      </w:r>
      <w:r w:rsidR="00650DC9" w:rsidRPr="00210111">
        <w:rPr>
          <w:rFonts w:ascii="Times New Roman" w:hAnsi="Times New Roman" w:cs="Times New Roman"/>
          <w:b/>
          <w:sz w:val="24"/>
        </w:rPr>
        <w:t>rograms</w:t>
      </w:r>
      <w:r w:rsidR="00682648" w:rsidRPr="00210111">
        <w:rPr>
          <w:rFonts w:ascii="Times New Roman" w:hAnsi="Times New Roman" w:cs="Times New Roman"/>
          <w:b/>
          <w:sz w:val="24"/>
        </w:rPr>
        <w:t xml:space="preserve">  </w:t>
      </w:r>
    </w:p>
    <w:p w:rsidR="003E5CCA" w:rsidRPr="00210111" w:rsidRDefault="003E5CCA" w:rsidP="00210111">
      <w:pPr>
        <w:jc w:val="both"/>
        <w:rPr>
          <w:rFonts w:ascii="Times New Roman" w:hAnsi="Times New Roman" w:cs="Times New Roman"/>
          <w:sz w:val="24"/>
        </w:rPr>
      </w:pPr>
      <w:r w:rsidRPr="00210111">
        <w:rPr>
          <w:rFonts w:ascii="Times New Roman" w:hAnsi="Times New Roman" w:cs="Times New Roman"/>
          <w:b/>
          <w:sz w:val="24"/>
        </w:rPr>
        <w:t>Problem:</w:t>
      </w:r>
      <w:r w:rsidRPr="00210111">
        <w:rPr>
          <w:rFonts w:ascii="Times New Roman" w:hAnsi="Times New Roman" w:cs="Times New Roman"/>
          <w:sz w:val="24"/>
        </w:rPr>
        <w:t xml:space="preserve"> </w:t>
      </w:r>
      <w:r w:rsidR="00302141" w:rsidRPr="00210111">
        <w:rPr>
          <w:rFonts w:ascii="Times New Roman" w:hAnsi="Times New Roman" w:cs="Times New Roman"/>
          <w:sz w:val="24"/>
        </w:rPr>
        <w:t xml:space="preserve">Title to </w:t>
      </w:r>
      <w:r w:rsidR="00C74542">
        <w:rPr>
          <w:rFonts w:ascii="Times New Roman" w:hAnsi="Times New Roman" w:cs="Times New Roman"/>
          <w:sz w:val="24"/>
        </w:rPr>
        <w:t>C</w:t>
      </w:r>
      <w:r w:rsidR="00302141" w:rsidRPr="00210111">
        <w:rPr>
          <w:rFonts w:ascii="Times New Roman" w:hAnsi="Times New Roman" w:cs="Times New Roman"/>
          <w:sz w:val="24"/>
        </w:rPr>
        <w:t xml:space="preserve">arbon </w:t>
      </w:r>
      <w:r w:rsidR="00C74542">
        <w:rPr>
          <w:rFonts w:ascii="Times New Roman" w:hAnsi="Times New Roman" w:cs="Times New Roman"/>
          <w:sz w:val="24"/>
        </w:rPr>
        <w:t>R</w:t>
      </w:r>
      <w:r w:rsidR="00302141" w:rsidRPr="00210111">
        <w:rPr>
          <w:rFonts w:ascii="Times New Roman" w:hAnsi="Times New Roman" w:cs="Times New Roman"/>
          <w:sz w:val="24"/>
        </w:rPr>
        <w:t xml:space="preserve">ights and therefore, legal and beneficial title to Contract Emissions Reductions </w:t>
      </w:r>
      <w:r w:rsidRPr="00210111">
        <w:rPr>
          <w:rFonts w:ascii="Times New Roman" w:hAnsi="Times New Roman" w:cs="Times New Roman"/>
          <w:sz w:val="24"/>
        </w:rPr>
        <w:t xml:space="preserve">is a highly complex and problematic area for which insufficient analytical and legal work has been undertaken by the FMT. </w:t>
      </w:r>
      <w:r w:rsidR="00E931CE" w:rsidRPr="00210111">
        <w:rPr>
          <w:rFonts w:ascii="Times New Roman" w:hAnsi="Times New Roman" w:cs="Times New Roman"/>
          <w:sz w:val="24"/>
        </w:rPr>
        <w:t xml:space="preserve"> By requiring ER Program proponents to ensure the ability to transfer title to ER’s “free of any interest, </w:t>
      </w:r>
      <w:r w:rsidR="00302141" w:rsidRPr="00210111">
        <w:rPr>
          <w:rFonts w:ascii="Times New Roman" w:hAnsi="Times New Roman" w:cs="Times New Roman"/>
          <w:sz w:val="24"/>
        </w:rPr>
        <w:t>e</w:t>
      </w:r>
      <w:r w:rsidR="00E931CE" w:rsidRPr="00210111">
        <w:rPr>
          <w:rFonts w:ascii="Times New Roman" w:hAnsi="Times New Roman" w:cs="Times New Roman"/>
          <w:sz w:val="24"/>
        </w:rPr>
        <w:t xml:space="preserve">ncumbrance or claim of a </w:t>
      </w:r>
      <w:r w:rsidR="00302141" w:rsidRPr="00210111">
        <w:rPr>
          <w:rFonts w:ascii="Times New Roman" w:hAnsi="Times New Roman" w:cs="Times New Roman"/>
          <w:sz w:val="24"/>
        </w:rPr>
        <w:t>t</w:t>
      </w:r>
      <w:r w:rsidR="00E931CE" w:rsidRPr="00210111">
        <w:rPr>
          <w:rFonts w:ascii="Times New Roman" w:hAnsi="Times New Roman" w:cs="Times New Roman"/>
          <w:sz w:val="24"/>
        </w:rPr>
        <w:t>hird</w:t>
      </w:r>
      <w:r w:rsidR="00302141" w:rsidRPr="00210111">
        <w:rPr>
          <w:rFonts w:ascii="Times New Roman" w:hAnsi="Times New Roman" w:cs="Times New Roman"/>
          <w:sz w:val="24"/>
        </w:rPr>
        <w:t>-p</w:t>
      </w:r>
      <w:r w:rsidR="00E931CE" w:rsidRPr="00210111">
        <w:rPr>
          <w:rFonts w:ascii="Times New Roman" w:hAnsi="Times New Roman" w:cs="Times New Roman"/>
          <w:sz w:val="24"/>
        </w:rPr>
        <w:t>arty other than in accordance with the ERPA</w:t>
      </w:r>
      <w:r w:rsidR="00302141" w:rsidRPr="00210111">
        <w:rPr>
          <w:rFonts w:ascii="Times New Roman" w:hAnsi="Times New Roman" w:cs="Times New Roman"/>
          <w:sz w:val="24"/>
        </w:rPr>
        <w:t>,</w:t>
      </w:r>
      <w:r w:rsidR="00E931CE" w:rsidRPr="00210111">
        <w:rPr>
          <w:rFonts w:ascii="Times New Roman" w:hAnsi="Times New Roman" w:cs="Times New Roman"/>
          <w:sz w:val="24"/>
        </w:rPr>
        <w:t xml:space="preserve">” </w:t>
      </w:r>
      <w:r w:rsidR="00302141" w:rsidRPr="00210111">
        <w:rPr>
          <w:rFonts w:ascii="Times New Roman" w:hAnsi="Times New Roman" w:cs="Times New Roman"/>
          <w:sz w:val="24"/>
        </w:rPr>
        <w:t xml:space="preserve">while leaving the determination of title to Carbon Rights without any guidance to the project proponents, </w:t>
      </w:r>
      <w:r w:rsidR="00E931CE" w:rsidRPr="00210111">
        <w:rPr>
          <w:rFonts w:ascii="Times New Roman" w:hAnsi="Times New Roman" w:cs="Times New Roman"/>
          <w:sz w:val="24"/>
        </w:rPr>
        <w:t>the C</w:t>
      </w:r>
      <w:r w:rsidR="00302141" w:rsidRPr="00210111">
        <w:rPr>
          <w:rFonts w:ascii="Times New Roman" w:hAnsi="Times New Roman" w:cs="Times New Roman"/>
          <w:sz w:val="24"/>
        </w:rPr>
        <w:t xml:space="preserve">arbon </w:t>
      </w:r>
      <w:r w:rsidR="00E931CE" w:rsidRPr="00210111">
        <w:rPr>
          <w:rFonts w:ascii="Times New Roman" w:hAnsi="Times New Roman" w:cs="Times New Roman"/>
          <w:sz w:val="24"/>
        </w:rPr>
        <w:t>F</w:t>
      </w:r>
      <w:r w:rsidR="00302141" w:rsidRPr="00210111">
        <w:rPr>
          <w:rFonts w:ascii="Times New Roman" w:hAnsi="Times New Roman" w:cs="Times New Roman"/>
          <w:sz w:val="24"/>
        </w:rPr>
        <w:t>und</w:t>
      </w:r>
      <w:r w:rsidR="00E931CE" w:rsidRPr="00210111">
        <w:rPr>
          <w:rFonts w:ascii="Times New Roman" w:hAnsi="Times New Roman" w:cs="Times New Roman"/>
          <w:sz w:val="24"/>
        </w:rPr>
        <w:t xml:space="preserve"> is incentivizing a rush to nationalize or otherwise assign carbon rights when there </w:t>
      </w:r>
      <w:r w:rsidR="00C74542">
        <w:rPr>
          <w:rFonts w:ascii="Times New Roman" w:hAnsi="Times New Roman" w:cs="Times New Roman"/>
          <w:sz w:val="24"/>
        </w:rPr>
        <w:t>may be</w:t>
      </w:r>
      <w:r w:rsidR="00C74542" w:rsidRPr="00210111">
        <w:rPr>
          <w:rFonts w:ascii="Times New Roman" w:hAnsi="Times New Roman" w:cs="Times New Roman"/>
          <w:sz w:val="24"/>
        </w:rPr>
        <w:t xml:space="preserve"> </w:t>
      </w:r>
      <w:r w:rsidR="00E931CE" w:rsidRPr="00210111">
        <w:rPr>
          <w:rFonts w:ascii="Times New Roman" w:hAnsi="Times New Roman" w:cs="Times New Roman"/>
          <w:sz w:val="24"/>
        </w:rPr>
        <w:t xml:space="preserve">insufficient development of a national legal framework </w:t>
      </w:r>
      <w:r w:rsidR="00302141" w:rsidRPr="00210111">
        <w:rPr>
          <w:rFonts w:ascii="Times New Roman" w:hAnsi="Times New Roman" w:cs="Times New Roman"/>
          <w:sz w:val="24"/>
        </w:rPr>
        <w:t xml:space="preserve">to clarify these rights </w:t>
      </w:r>
      <w:r w:rsidR="00E931CE" w:rsidRPr="00210111">
        <w:rPr>
          <w:rFonts w:ascii="Times New Roman" w:hAnsi="Times New Roman" w:cs="Times New Roman"/>
          <w:sz w:val="24"/>
        </w:rPr>
        <w:t xml:space="preserve">or </w:t>
      </w:r>
      <w:r w:rsidR="00302141" w:rsidRPr="00210111">
        <w:rPr>
          <w:rFonts w:ascii="Times New Roman" w:hAnsi="Times New Roman" w:cs="Times New Roman"/>
          <w:sz w:val="24"/>
        </w:rPr>
        <w:t xml:space="preserve">where </w:t>
      </w:r>
      <w:r w:rsidR="00E931CE" w:rsidRPr="00210111">
        <w:rPr>
          <w:rFonts w:ascii="Times New Roman" w:hAnsi="Times New Roman" w:cs="Times New Roman"/>
          <w:sz w:val="24"/>
        </w:rPr>
        <w:t xml:space="preserve">awareness and good faith negotiations between the ER Program </w:t>
      </w:r>
      <w:r w:rsidR="00302141" w:rsidRPr="00210111">
        <w:rPr>
          <w:rFonts w:ascii="Times New Roman" w:hAnsi="Times New Roman" w:cs="Times New Roman"/>
          <w:sz w:val="24"/>
        </w:rPr>
        <w:t>P</w:t>
      </w:r>
      <w:r w:rsidR="00E931CE" w:rsidRPr="00210111">
        <w:rPr>
          <w:rFonts w:ascii="Times New Roman" w:hAnsi="Times New Roman" w:cs="Times New Roman"/>
          <w:sz w:val="24"/>
        </w:rPr>
        <w:t>roponent and affected stakeholders on these issues</w:t>
      </w:r>
      <w:r w:rsidR="00302141" w:rsidRPr="00210111">
        <w:rPr>
          <w:rFonts w:ascii="Times New Roman" w:hAnsi="Times New Roman" w:cs="Times New Roman"/>
          <w:sz w:val="24"/>
        </w:rPr>
        <w:t xml:space="preserve"> has not occurred</w:t>
      </w:r>
      <w:r w:rsidR="00E931CE" w:rsidRPr="00210111">
        <w:rPr>
          <w:rFonts w:ascii="Times New Roman" w:hAnsi="Times New Roman" w:cs="Times New Roman"/>
          <w:sz w:val="24"/>
        </w:rPr>
        <w:t xml:space="preserve">. </w:t>
      </w:r>
      <w:r w:rsidR="00163514" w:rsidRPr="00210111">
        <w:rPr>
          <w:rFonts w:ascii="Times New Roman" w:hAnsi="Times New Roman" w:cs="Times New Roman"/>
          <w:sz w:val="24"/>
        </w:rPr>
        <w:t xml:space="preserve"> </w:t>
      </w:r>
      <w:r w:rsidR="00C74542">
        <w:rPr>
          <w:rFonts w:ascii="Times New Roman" w:hAnsi="Times New Roman" w:cs="Times New Roman"/>
          <w:sz w:val="24"/>
        </w:rPr>
        <w:t>As t</w:t>
      </w:r>
      <w:r w:rsidR="00163514" w:rsidRPr="00210111">
        <w:rPr>
          <w:rFonts w:ascii="Times New Roman" w:hAnsi="Times New Roman" w:cs="Times New Roman"/>
          <w:sz w:val="24"/>
        </w:rPr>
        <w:t xml:space="preserve">he </w:t>
      </w:r>
      <w:r w:rsidR="00302141" w:rsidRPr="00210111">
        <w:rPr>
          <w:rFonts w:ascii="Times New Roman" w:hAnsi="Times New Roman" w:cs="Times New Roman"/>
          <w:sz w:val="24"/>
        </w:rPr>
        <w:t>title to</w:t>
      </w:r>
      <w:r w:rsidR="00163514" w:rsidRPr="00210111">
        <w:rPr>
          <w:rFonts w:ascii="Times New Roman" w:hAnsi="Times New Roman" w:cs="Times New Roman"/>
          <w:sz w:val="24"/>
        </w:rPr>
        <w:t xml:space="preserve"> carbon rights, and the transfer of those rights to the Carbon Fund, impacts the fundamental rights of people to their lands and forests, this issue needs to be approached with greater caution and with greater remedies for potentially affected peoples</w:t>
      </w:r>
      <w:r w:rsidR="00A851E9" w:rsidRPr="00210111">
        <w:rPr>
          <w:rFonts w:ascii="Times New Roman" w:hAnsi="Times New Roman" w:cs="Times New Roman"/>
          <w:sz w:val="24"/>
        </w:rPr>
        <w:t xml:space="preserve"> and other stakeholders (e.g., communities, specific defined groups of indigenous people)</w:t>
      </w:r>
      <w:r w:rsidR="00163514" w:rsidRPr="00210111">
        <w:rPr>
          <w:rFonts w:ascii="Times New Roman" w:hAnsi="Times New Roman" w:cs="Times New Roman"/>
          <w:sz w:val="24"/>
        </w:rPr>
        <w:t>. The relevant</w:t>
      </w:r>
      <w:r w:rsidR="00934DAF" w:rsidRPr="00210111">
        <w:rPr>
          <w:rFonts w:ascii="Times New Roman" w:hAnsi="Times New Roman" w:cs="Times New Roman"/>
          <w:sz w:val="24"/>
        </w:rPr>
        <w:t xml:space="preserve"> </w:t>
      </w:r>
      <w:r w:rsidR="00A851E9" w:rsidRPr="00210111">
        <w:rPr>
          <w:rFonts w:ascii="Times New Roman" w:hAnsi="Times New Roman" w:cs="Times New Roman"/>
          <w:sz w:val="24"/>
        </w:rPr>
        <w:t xml:space="preserve">safeguards </w:t>
      </w:r>
      <w:r w:rsidR="00934DAF" w:rsidRPr="00210111">
        <w:rPr>
          <w:rFonts w:ascii="Times New Roman" w:hAnsi="Times New Roman" w:cs="Times New Roman"/>
          <w:sz w:val="24"/>
        </w:rPr>
        <w:t>policy framework at the World B</w:t>
      </w:r>
      <w:r w:rsidR="00163514" w:rsidRPr="00210111">
        <w:rPr>
          <w:rFonts w:ascii="Times New Roman" w:hAnsi="Times New Roman" w:cs="Times New Roman"/>
          <w:sz w:val="24"/>
        </w:rPr>
        <w:t xml:space="preserve">ank, </w:t>
      </w:r>
      <w:r w:rsidR="00A851E9" w:rsidRPr="00210111">
        <w:rPr>
          <w:rFonts w:ascii="Times New Roman" w:hAnsi="Times New Roman" w:cs="Times New Roman"/>
          <w:sz w:val="24"/>
        </w:rPr>
        <w:t xml:space="preserve">and </w:t>
      </w:r>
      <w:r w:rsidR="00163514" w:rsidRPr="00210111">
        <w:rPr>
          <w:rFonts w:ascii="Times New Roman" w:hAnsi="Times New Roman" w:cs="Times New Roman"/>
          <w:sz w:val="24"/>
        </w:rPr>
        <w:t>the involuntary resettlement policy (OP 4.12) w</w:t>
      </w:r>
      <w:r w:rsidR="00A851E9" w:rsidRPr="00210111">
        <w:rPr>
          <w:rFonts w:ascii="Times New Roman" w:hAnsi="Times New Roman" w:cs="Times New Roman"/>
          <w:sz w:val="24"/>
        </w:rPr>
        <w:t>ere</w:t>
      </w:r>
      <w:r w:rsidR="00163514" w:rsidRPr="00210111">
        <w:rPr>
          <w:rFonts w:ascii="Times New Roman" w:hAnsi="Times New Roman" w:cs="Times New Roman"/>
          <w:sz w:val="24"/>
        </w:rPr>
        <w:t xml:space="preserve"> not designed to incl</w:t>
      </w:r>
      <w:r w:rsidR="00934DAF" w:rsidRPr="00210111">
        <w:rPr>
          <w:rFonts w:ascii="Times New Roman" w:hAnsi="Times New Roman" w:cs="Times New Roman"/>
          <w:sz w:val="24"/>
        </w:rPr>
        <w:t>ude this</w:t>
      </w:r>
      <w:r w:rsidR="00163514" w:rsidRPr="00210111">
        <w:rPr>
          <w:rFonts w:ascii="Times New Roman" w:hAnsi="Times New Roman" w:cs="Times New Roman"/>
          <w:sz w:val="24"/>
        </w:rPr>
        <w:t xml:space="preserve"> new category for rights to carbon</w:t>
      </w:r>
      <w:r w:rsidR="00934DAF" w:rsidRPr="00210111">
        <w:rPr>
          <w:rFonts w:ascii="Times New Roman" w:hAnsi="Times New Roman" w:cs="Times New Roman"/>
          <w:sz w:val="24"/>
        </w:rPr>
        <w:t xml:space="preserve"> and ha</w:t>
      </w:r>
      <w:r w:rsidR="00A851E9" w:rsidRPr="00210111">
        <w:rPr>
          <w:rFonts w:ascii="Times New Roman" w:hAnsi="Times New Roman" w:cs="Times New Roman"/>
          <w:sz w:val="24"/>
        </w:rPr>
        <w:t>ve</w:t>
      </w:r>
      <w:r w:rsidR="00934DAF" w:rsidRPr="00210111">
        <w:rPr>
          <w:rFonts w:ascii="Times New Roman" w:hAnsi="Times New Roman" w:cs="Times New Roman"/>
          <w:sz w:val="24"/>
        </w:rPr>
        <w:t xml:space="preserve"> serious limitations in how well </w:t>
      </w:r>
      <w:r w:rsidR="00A851E9" w:rsidRPr="00210111">
        <w:rPr>
          <w:rFonts w:ascii="Times New Roman" w:hAnsi="Times New Roman" w:cs="Times New Roman"/>
          <w:sz w:val="24"/>
        </w:rPr>
        <w:t>they</w:t>
      </w:r>
      <w:r w:rsidR="00934DAF" w:rsidRPr="00210111">
        <w:rPr>
          <w:rFonts w:ascii="Times New Roman" w:hAnsi="Times New Roman" w:cs="Times New Roman"/>
          <w:sz w:val="24"/>
        </w:rPr>
        <w:t xml:space="preserve"> cover scenarios likely in the implementation of </w:t>
      </w:r>
      <w:r w:rsidR="00A851E9" w:rsidRPr="00210111">
        <w:rPr>
          <w:rFonts w:ascii="Times New Roman" w:hAnsi="Times New Roman" w:cs="Times New Roman"/>
          <w:sz w:val="24"/>
        </w:rPr>
        <w:t xml:space="preserve">a Carbon Fund </w:t>
      </w:r>
      <w:r w:rsidR="00934DAF" w:rsidRPr="00210111">
        <w:rPr>
          <w:rFonts w:ascii="Times New Roman" w:hAnsi="Times New Roman" w:cs="Times New Roman"/>
          <w:sz w:val="24"/>
        </w:rPr>
        <w:t>REDD</w:t>
      </w:r>
      <w:r w:rsidR="00210111">
        <w:rPr>
          <w:rFonts w:ascii="Times New Roman" w:hAnsi="Times New Roman" w:cs="Times New Roman"/>
          <w:sz w:val="24"/>
        </w:rPr>
        <w:t>+</w:t>
      </w:r>
      <w:r w:rsidR="00934DAF" w:rsidRPr="00210111">
        <w:rPr>
          <w:rFonts w:ascii="Times New Roman" w:hAnsi="Times New Roman" w:cs="Times New Roman"/>
          <w:sz w:val="24"/>
        </w:rPr>
        <w:t xml:space="preserve"> project</w:t>
      </w:r>
      <w:r w:rsidR="00163514" w:rsidRPr="00210111">
        <w:rPr>
          <w:rFonts w:ascii="Times New Roman" w:hAnsi="Times New Roman" w:cs="Times New Roman"/>
          <w:sz w:val="24"/>
        </w:rPr>
        <w:t xml:space="preserve">. </w:t>
      </w:r>
      <w:r w:rsidR="00A851E9" w:rsidRPr="00210111">
        <w:rPr>
          <w:rFonts w:ascii="Times New Roman" w:hAnsi="Times New Roman" w:cs="Times New Roman"/>
          <w:sz w:val="24"/>
        </w:rPr>
        <w:t xml:space="preserve">The Involuntary Resettlement Policy </w:t>
      </w:r>
      <w:r w:rsidR="00163514" w:rsidRPr="00210111">
        <w:rPr>
          <w:rFonts w:ascii="Times New Roman" w:hAnsi="Times New Roman" w:cs="Times New Roman"/>
          <w:sz w:val="24"/>
        </w:rPr>
        <w:t>does</w:t>
      </w:r>
      <w:r w:rsidR="00A851E9" w:rsidRPr="00210111">
        <w:rPr>
          <w:rFonts w:ascii="Times New Roman" w:hAnsi="Times New Roman" w:cs="Times New Roman"/>
          <w:sz w:val="24"/>
        </w:rPr>
        <w:t>,</w:t>
      </w:r>
      <w:r w:rsidR="00163514" w:rsidRPr="00210111">
        <w:rPr>
          <w:rFonts w:ascii="Times New Roman" w:hAnsi="Times New Roman" w:cs="Times New Roman"/>
          <w:sz w:val="24"/>
        </w:rPr>
        <w:t xml:space="preserve"> however</w:t>
      </w:r>
      <w:r w:rsidR="00A851E9" w:rsidRPr="00210111">
        <w:rPr>
          <w:rFonts w:ascii="Times New Roman" w:hAnsi="Times New Roman" w:cs="Times New Roman"/>
          <w:sz w:val="24"/>
        </w:rPr>
        <w:t>,</w:t>
      </w:r>
      <w:r w:rsidR="00163514" w:rsidRPr="00210111">
        <w:rPr>
          <w:rFonts w:ascii="Times New Roman" w:hAnsi="Times New Roman" w:cs="Times New Roman"/>
          <w:sz w:val="24"/>
        </w:rPr>
        <w:t xml:space="preserve"> cover res</w:t>
      </w:r>
      <w:r w:rsidR="00934DAF" w:rsidRPr="00210111">
        <w:rPr>
          <w:rFonts w:ascii="Times New Roman" w:hAnsi="Times New Roman" w:cs="Times New Roman"/>
          <w:sz w:val="24"/>
        </w:rPr>
        <w:t xml:space="preserve">trictions on access to forests and therefore the Resettlement Action Plan and/or Resettlement Framework would be the appropriate safeguard instrument to cover any potential restrictions on access to or use of timber or non-timber resources </w:t>
      </w:r>
      <w:r w:rsidR="00A851E9" w:rsidRPr="00210111">
        <w:rPr>
          <w:rFonts w:ascii="Times New Roman" w:hAnsi="Times New Roman" w:cs="Times New Roman"/>
          <w:sz w:val="24"/>
        </w:rPr>
        <w:t>that</w:t>
      </w:r>
      <w:r w:rsidR="00934DAF" w:rsidRPr="00210111">
        <w:rPr>
          <w:rFonts w:ascii="Times New Roman" w:hAnsi="Times New Roman" w:cs="Times New Roman"/>
          <w:sz w:val="24"/>
        </w:rPr>
        <w:t xml:space="preserve"> result </w:t>
      </w:r>
      <w:r w:rsidR="00A851E9" w:rsidRPr="00210111">
        <w:rPr>
          <w:rFonts w:ascii="Times New Roman" w:hAnsi="Times New Roman" w:cs="Times New Roman"/>
          <w:sz w:val="24"/>
        </w:rPr>
        <w:t>from the implementation of ER Programs</w:t>
      </w:r>
      <w:r w:rsidR="00934DAF" w:rsidRPr="00210111">
        <w:rPr>
          <w:rFonts w:ascii="Times New Roman" w:hAnsi="Times New Roman" w:cs="Times New Roman"/>
          <w:sz w:val="24"/>
        </w:rPr>
        <w:t xml:space="preserve">. </w:t>
      </w:r>
      <w:r w:rsidR="00A851E9" w:rsidRPr="00210111">
        <w:rPr>
          <w:rFonts w:ascii="Times New Roman" w:hAnsi="Times New Roman" w:cs="Times New Roman"/>
          <w:sz w:val="24"/>
        </w:rPr>
        <w:t>Other World Bank safeguards will likely come into play depending on how specific project proponents decide to construct their benefit sharing programs, e.g., if individuals are not eligible to participate or different ethnic groups are given different rights under the benefit sharing programs.</w:t>
      </w:r>
    </w:p>
    <w:p w:rsidR="00550D42" w:rsidRPr="00210111" w:rsidRDefault="00550D42" w:rsidP="00210111">
      <w:pPr>
        <w:jc w:val="both"/>
        <w:rPr>
          <w:rFonts w:ascii="Times New Roman" w:hAnsi="Times New Roman" w:cs="Times New Roman"/>
          <w:b/>
          <w:sz w:val="24"/>
        </w:rPr>
      </w:pPr>
      <w:r w:rsidRPr="00210111">
        <w:rPr>
          <w:rFonts w:ascii="Times New Roman" w:hAnsi="Times New Roman" w:cs="Times New Roman"/>
          <w:b/>
          <w:sz w:val="24"/>
        </w:rPr>
        <w:t>Solutions:</w:t>
      </w:r>
    </w:p>
    <w:p w:rsidR="00934DAF" w:rsidRPr="00210111" w:rsidRDefault="00A851E9" w:rsidP="00210111">
      <w:pPr>
        <w:jc w:val="both"/>
        <w:rPr>
          <w:rFonts w:ascii="Times New Roman" w:hAnsi="Times New Roman" w:cs="Times New Roman"/>
          <w:sz w:val="24"/>
        </w:rPr>
      </w:pPr>
      <w:r w:rsidRPr="00210111">
        <w:rPr>
          <w:rFonts w:ascii="Times New Roman" w:hAnsi="Times New Roman" w:cs="Times New Roman"/>
          <w:sz w:val="24"/>
        </w:rPr>
        <w:t xml:space="preserve">The relevant sections of the ERPA term sheet should make reference to the </w:t>
      </w:r>
      <w:r w:rsidR="00740F90" w:rsidRPr="00210111">
        <w:rPr>
          <w:rFonts w:ascii="Times New Roman" w:hAnsi="Times New Roman" w:cs="Times New Roman"/>
          <w:sz w:val="24"/>
        </w:rPr>
        <w:t xml:space="preserve">Resettlement Action Plan/Resettlement Framework </w:t>
      </w:r>
      <w:r w:rsidRPr="00210111">
        <w:rPr>
          <w:rFonts w:ascii="Times New Roman" w:hAnsi="Times New Roman" w:cs="Times New Roman"/>
          <w:sz w:val="24"/>
        </w:rPr>
        <w:t>and other relevant World Bank Safeguards and the provisions therein</w:t>
      </w:r>
      <w:r w:rsidR="004825EC" w:rsidRPr="00210111">
        <w:rPr>
          <w:rFonts w:ascii="Times New Roman" w:hAnsi="Times New Roman" w:cs="Times New Roman"/>
          <w:sz w:val="24"/>
        </w:rPr>
        <w:t xml:space="preserve"> and International Rules</w:t>
      </w:r>
      <w:r w:rsidRPr="00210111">
        <w:rPr>
          <w:rFonts w:ascii="Times New Roman" w:hAnsi="Times New Roman" w:cs="Times New Roman"/>
          <w:sz w:val="24"/>
        </w:rPr>
        <w:t>.</w:t>
      </w:r>
    </w:p>
    <w:p w:rsidR="00934DAF" w:rsidRPr="00210111" w:rsidRDefault="00934DAF" w:rsidP="00210111">
      <w:pPr>
        <w:jc w:val="both"/>
        <w:rPr>
          <w:rFonts w:ascii="Times New Roman" w:hAnsi="Times New Roman" w:cs="Times New Roman"/>
          <w:sz w:val="24"/>
        </w:rPr>
      </w:pPr>
      <w:r w:rsidRPr="00210111">
        <w:rPr>
          <w:rFonts w:ascii="Times New Roman" w:hAnsi="Times New Roman" w:cs="Times New Roman"/>
          <w:sz w:val="24"/>
        </w:rPr>
        <w:t>The definition of “Resettlement Plan” (p.13) should be re-formulated to explicitly include restrictions on access to or use of forest resources in accordance with OP 4.12</w:t>
      </w:r>
      <w:r w:rsidR="004825EC" w:rsidRPr="00210111">
        <w:rPr>
          <w:rFonts w:ascii="Times New Roman" w:hAnsi="Times New Roman" w:cs="Times New Roman"/>
          <w:sz w:val="24"/>
        </w:rPr>
        <w:t>.</w:t>
      </w:r>
    </w:p>
    <w:p w:rsidR="00934DAF" w:rsidRPr="00210111" w:rsidRDefault="00934DAF" w:rsidP="00210111">
      <w:pPr>
        <w:jc w:val="both"/>
        <w:rPr>
          <w:rFonts w:ascii="Times New Roman" w:hAnsi="Times New Roman" w:cs="Times New Roman"/>
          <w:sz w:val="24"/>
        </w:rPr>
      </w:pPr>
      <w:r w:rsidRPr="00210111">
        <w:rPr>
          <w:rFonts w:ascii="Times New Roman" w:hAnsi="Times New Roman" w:cs="Times New Roman"/>
          <w:sz w:val="24"/>
        </w:rPr>
        <w:t xml:space="preserve">Section 15.01 should be amended </w:t>
      </w:r>
      <w:r w:rsidR="004C1047" w:rsidRPr="00210111">
        <w:rPr>
          <w:rFonts w:ascii="Times New Roman" w:hAnsi="Times New Roman" w:cs="Times New Roman"/>
          <w:sz w:val="24"/>
        </w:rPr>
        <w:t>to say:</w:t>
      </w:r>
    </w:p>
    <w:p w:rsidR="004C1047" w:rsidRPr="00210111" w:rsidRDefault="004C1047" w:rsidP="00210111">
      <w:pPr>
        <w:ind w:left="720"/>
        <w:jc w:val="both"/>
        <w:rPr>
          <w:rFonts w:ascii="Times New Roman" w:hAnsi="Times New Roman" w:cs="Times New Roman"/>
          <w:i/>
          <w:sz w:val="24"/>
        </w:rPr>
      </w:pPr>
      <w:r w:rsidRPr="00210111">
        <w:rPr>
          <w:rFonts w:ascii="Times New Roman" w:hAnsi="Times New Roman" w:cs="Times New Roman"/>
          <w:i/>
          <w:sz w:val="24"/>
        </w:rPr>
        <w:t>The Program Entity shall ensure throughout the Term that the Program Entity has the ability to transfer Title to ER’s to the Trustee, free of any interest, Encumbrance or claim of a Third Party other than in accordance with the ERPA, the benefit sharing plan and the resettlement action plan consistent with World Bank Operational Policies</w:t>
      </w:r>
      <w:r w:rsidR="00A851E9" w:rsidRPr="00210111">
        <w:rPr>
          <w:rFonts w:ascii="Times New Roman" w:hAnsi="Times New Roman" w:cs="Times New Roman"/>
          <w:i/>
          <w:sz w:val="24"/>
        </w:rPr>
        <w:t xml:space="preserve"> and International Rules</w:t>
      </w:r>
      <w:r w:rsidRPr="00210111">
        <w:rPr>
          <w:rFonts w:ascii="Times New Roman" w:hAnsi="Times New Roman" w:cs="Times New Roman"/>
          <w:i/>
          <w:sz w:val="24"/>
        </w:rPr>
        <w:t xml:space="preserve">. </w:t>
      </w:r>
    </w:p>
    <w:p w:rsidR="00210111" w:rsidRDefault="00E931CE" w:rsidP="00210111">
      <w:pPr>
        <w:jc w:val="both"/>
        <w:rPr>
          <w:rFonts w:ascii="Times New Roman" w:hAnsi="Times New Roman" w:cs="Times New Roman"/>
          <w:sz w:val="24"/>
        </w:rPr>
      </w:pPr>
      <w:r w:rsidRPr="00210111">
        <w:rPr>
          <w:rFonts w:ascii="Times New Roman" w:hAnsi="Times New Roman" w:cs="Times New Roman"/>
          <w:sz w:val="24"/>
        </w:rPr>
        <w:t xml:space="preserve">The footnote #4 in the Schedule 1 Commercial Terms (p.14), which allows for a reduction of the contacted ER’s as a result of failure to demonstrate the ability to transfer title, </w:t>
      </w:r>
      <w:r w:rsidR="004C1047" w:rsidRPr="00210111">
        <w:rPr>
          <w:rFonts w:ascii="Times New Roman" w:hAnsi="Times New Roman" w:cs="Times New Roman"/>
          <w:sz w:val="24"/>
        </w:rPr>
        <w:t xml:space="preserve">which could incentivize </w:t>
      </w:r>
      <w:r w:rsidRPr="00210111">
        <w:rPr>
          <w:rFonts w:ascii="Times New Roman" w:hAnsi="Times New Roman" w:cs="Times New Roman"/>
          <w:sz w:val="24"/>
        </w:rPr>
        <w:t>coercive negotiations</w:t>
      </w:r>
      <w:r w:rsidR="004825EC" w:rsidRPr="00210111">
        <w:rPr>
          <w:rFonts w:ascii="Times New Roman" w:hAnsi="Times New Roman" w:cs="Times New Roman"/>
          <w:sz w:val="24"/>
        </w:rPr>
        <w:t xml:space="preserve"> by the project proponent</w:t>
      </w:r>
      <w:r w:rsidRPr="00210111">
        <w:rPr>
          <w:rFonts w:ascii="Times New Roman" w:hAnsi="Times New Roman" w:cs="Times New Roman"/>
          <w:sz w:val="24"/>
        </w:rPr>
        <w:t xml:space="preserve">, e.g. </w:t>
      </w:r>
      <w:r w:rsidR="004C1047" w:rsidRPr="00210111">
        <w:rPr>
          <w:rFonts w:ascii="Times New Roman" w:hAnsi="Times New Roman" w:cs="Times New Roman"/>
          <w:sz w:val="24"/>
        </w:rPr>
        <w:t>stakeholders</w:t>
      </w:r>
      <w:r w:rsidRPr="00210111">
        <w:rPr>
          <w:rFonts w:ascii="Times New Roman" w:hAnsi="Times New Roman" w:cs="Times New Roman"/>
          <w:sz w:val="24"/>
        </w:rPr>
        <w:t xml:space="preserve"> can be threaten</w:t>
      </w:r>
      <w:r w:rsidR="00210111">
        <w:rPr>
          <w:rFonts w:ascii="Times New Roman" w:hAnsi="Times New Roman" w:cs="Times New Roman"/>
          <w:sz w:val="24"/>
        </w:rPr>
        <w:t>ed</w:t>
      </w:r>
      <w:r w:rsidRPr="00210111">
        <w:rPr>
          <w:rFonts w:ascii="Times New Roman" w:hAnsi="Times New Roman" w:cs="Times New Roman"/>
          <w:sz w:val="24"/>
        </w:rPr>
        <w:t xml:space="preserve"> with exclusion from the program if</w:t>
      </w:r>
      <w:r w:rsidR="004C1047" w:rsidRPr="00210111">
        <w:rPr>
          <w:rFonts w:ascii="Times New Roman" w:hAnsi="Times New Roman" w:cs="Times New Roman"/>
          <w:sz w:val="24"/>
        </w:rPr>
        <w:t xml:space="preserve"> the</w:t>
      </w:r>
      <w:r w:rsidRPr="00210111">
        <w:rPr>
          <w:rFonts w:ascii="Times New Roman" w:hAnsi="Times New Roman" w:cs="Times New Roman"/>
          <w:sz w:val="24"/>
        </w:rPr>
        <w:t xml:space="preserve"> terms </w:t>
      </w:r>
      <w:r w:rsidR="004825EC" w:rsidRPr="00210111">
        <w:rPr>
          <w:rFonts w:ascii="Times New Roman" w:hAnsi="Times New Roman" w:cs="Times New Roman"/>
          <w:sz w:val="24"/>
        </w:rPr>
        <w:t xml:space="preserve">offered by the project proponent </w:t>
      </w:r>
      <w:r w:rsidRPr="00210111">
        <w:rPr>
          <w:rFonts w:ascii="Times New Roman" w:hAnsi="Times New Roman" w:cs="Times New Roman"/>
          <w:sz w:val="24"/>
        </w:rPr>
        <w:t xml:space="preserve">are not accepted. </w:t>
      </w:r>
      <w:r w:rsidR="004825EC" w:rsidRPr="00210111">
        <w:rPr>
          <w:rFonts w:ascii="Times New Roman" w:hAnsi="Times New Roman" w:cs="Times New Roman"/>
          <w:sz w:val="24"/>
        </w:rPr>
        <w:t xml:space="preserve"> This provision should be amended to add the following provision at the end of the footnote:  </w:t>
      </w:r>
    </w:p>
    <w:p w:rsidR="00E931CE" w:rsidRPr="00210111" w:rsidRDefault="004825EC" w:rsidP="00210111">
      <w:pPr>
        <w:ind w:left="720"/>
        <w:jc w:val="both"/>
        <w:rPr>
          <w:rFonts w:ascii="Times New Roman" w:hAnsi="Times New Roman" w:cs="Times New Roman"/>
          <w:i/>
          <w:sz w:val="24"/>
        </w:rPr>
      </w:pPr>
      <w:r w:rsidRPr="00210111">
        <w:rPr>
          <w:rFonts w:ascii="Times New Roman" w:hAnsi="Times New Roman" w:cs="Times New Roman"/>
          <w:i/>
          <w:sz w:val="24"/>
        </w:rPr>
        <w:t>If there is a dispute about legal and/or beneficial title to any</w:t>
      </w:r>
      <w:r w:rsidR="001350E2" w:rsidRPr="00210111">
        <w:rPr>
          <w:rFonts w:ascii="Times New Roman" w:hAnsi="Times New Roman" w:cs="Times New Roman"/>
          <w:i/>
          <w:sz w:val="24"/>
        </w:rPr>
        <w:t xml:space="preserve"> of </w:t>
      </w:r>
      <w:r w:rsidRPr="00210111">
        <w:rPr>
          <w:rFonts w:ascii="Times New Roman" w:hAnsi="Times New Roman" w:cs="Times New Roman"/>
          <w:i/>
          <w:sz w:val="24"/>
        </w:rPr>
        <w:t>the Contract ERs</w:t>
      </w:r>
      <w:r w:rsidR="001350E2" w:rsidRPr="00210111">
        <w:rPr>
          <w:rFonts w:ascii="Times New Roman" w:hAnsi="Times New Roman" w:cs="Times New Roman"/>
          <w:i/>
          <w:sz w:val="24"/>
        </w:rPr>
        <w:t xml:space="preserve"> the project proponent shall engage in good faith and transparent negotiations to resolve the dispute, including in all available dispute resolution procedures.</w:t>
      </w:r>
    </w:p>
    <w:p w:rsidR="00E931CE" w:rsidRPr="00210111" w:rsidRDefault="00E931CE" w:rsidP="00210111">
      <w:pPr>
        <w:jc w:val="both"/>
        <w:rPr>
          <w:rFonts w:ascii="Times New Roman" w:hAnsi="Times New Roman" w:cs="Times New Roman"/>
          <w:sz w:val="24"/>
        </w:rPr>
      </w:pPr>
      <w:r w:rsidRPr="00210111">
        <w:rPr>
          <w:rFonts w:ascii="Times New Roman" w:hAnsi="Times New Roman" w:cs="Times New Roman"/>
          <w:sz w:val="24"/>
        </w:rPr>
        <w:t xml:space="preserve">Section 15.01(b) </w:t>
      </w:r>
      <w:r w:rsidR="004C1047" w:rsidRPr="00210111">
        <w:rPr>
          <w:rFonts w:ascii="Times New Roman" w:hAnsi="Times New Roman" w:cs="Times New Roman"/>
          <w:sz w:val="24"/>
        </w:rPr>
        <w:t xml:space="preserve">of the General Conditions (p.33) </w:t>
      </w:r>
      <w:r w:rsidRPr="00210111">
        <w:rPr>
          <w:rFonts w:ascii="Times New Roman" w:hAnsi="Times New Roman" w:cs="Times New Roman"/>
          <w:sz w:val="24"/>
        </w:rPr>
        <w:t>appropriately mentions the use of the required a grievance redress mechanism, but</w:t>
      </w:r>
      <w:r w:rsidR="004825EC" w:rsidRPr="00210111">
        <w:rPr>
          <w:rFonts w:ascii="Times New Roman" w:hAnsi="Times New Roman" w:cs="Times New Roman"/>
          <w:sz w:val="24"/>
        </w:rPr>
        <w:t xml:space="preserve"> should be amended</w:t>
      </w:r>
      <w:r w:rsidRPr="00210111">
        <w:rPr>
          <w:rFonts w:ascii="Times New Roman" w:hAnsi="Times New Roman" w:cs="Times New Roman"/>
          <w:sz w:val="24"/>
        </w:rPr>
        <w:t xml:space="preserve"> to include mention of the World Bank’s Inspection Panel as a potential means of redress for affected communities. </w:t>
      </w:r>
    </w:p>
    <w:p w:rsidR="001350E2" w:rsidRPr="00210111" w:rsidRDefault="001350E2" w:rsidP="00210111">
      <w:pPr>
        <w:jc w:val="both"/>
        <w:rPr>
          <w:rFonts w:ascii="Times New Roman" w:hAnsi="Times New Roman" w:cs="Times New Roman"/>
          <w:sz w:val="24"/>
        </w:rPr>
      </w:pPr>
      <w:r w:rsidRPr="00210111">
        <w:rPr>
          <w:rFonts w:ascii="Times New Roman" w:hAnsi="Times New Roman" w:cs="Times New Roman"/>
          <w:sz w:val="24"/>
        </w:rPr>
        <w:t xml:space="preserve">One of the main purposes of the FCPF Carbon Fund is to pilot benefit sharing programs in the context </w:t>
      </w:r>
      <w:r w:rsidR="00906F5D" w:rsidRPr="00210111">
        <w:rPr>
          <w:rFonts w:ascii="Times New Roman" w:hAnsi="Times New Roman" w:cs="Times New Roman"/>
          <w:sz w:val="24"/>
        </w:rPr>
        <w:t>of REDD</w:t>
      </w:r>
      <w:r w:rsidR="00210111">
        <w:rPr>
          <w:rFonts w:ascii="Times New Roman" w:hAnsi="Times New Roman" w:cs="Times New Roman"/>
          <w:sz w:val="24"/>
        </w:rPr>
        <w:t>+</w:t>
      </w:r>
      <w:r w:rsidR="00906F5D" w:rsidRPr="00210111">
        <w:rPr>
          <w:rFonts w:ascii="Times New Roman" w:hAnsi="Times New Roman" w:cs="Times New Roman"/>
          <w:sz w:val="24"/>
        </w:rPr>
        <w:t xml:space="preserve">.  Therefore, no benefit-sharing program </w:t>
      </w:r>
      <w:r w:rsidR="00210111">
        <w:rPr>
          <w:rFonts w:ascii="Times New Roman" w:hAnsi="Times New Roman" w:cs="Times New Roman"/>
          <w:sz w:val="24"/>
        </w:rPr>
        <w:t xml:space="preserve">in a CF funded ER Program </w:t>
      </w:r>
      <w:r w:rsidR="00906F5D" w:rsidRPr="00210111">
        <w:rPr>
          <w:rFonts w:ascii="Times New Roman" w:hAnsi="Times New Roman" w:cs="Times New Roman"/>
          <w:sz w:val="24"/>
        </w:rPr>
        <w:t>should not meet the goals of Section 6.03 of the General Condition to share a “significant part of the Monetary and Non-Monetary Benefits achieved in connection with the implementation of the ER Program (including received payments for transferred Contract ERs and Additional ERs and Advance Payments) with relevant stakeholders.”  Benefit Sharing Programs should be reviewed to ensure that relevant stakeholders have not been excluded from sharing in the benefits of the ER Program and that the benefits being shared constitute “a significant part of the Monetary and Non-Monetary Benefits achieved</w:t>
      </w:r>
      <w:r w:rsidR="00210111">
        <w:rPr>
          <w:rFonts w:ascii="Times New Roman" w:hAnsi="Times New Roman" w:cs="Times New Roman"/>
          <w:sz w:val="24"/>
        </w:rPr>
        <w:t>”</w:t>
      </w:r>
      <w:r w:rsidR="00906F5D" w:rsidRPr="00210111">
        <w:rPr>
          <w:rFonts w:ascii="Times New Roman" w:hAnsi="Times New Roman" w:cs="Times New Roman"/>
          <w:sz w:val="24"/>
        </w:rPr>
        <w:t>, and rejected if they are found not to achieve these goals.</w:t>
      </w:r>
    </w:p>
    <w:p w:rsidR="001350E2" w:rsidRPr="00210111" w:rsidRDefault="001350E2" w:rsidP="00210111">
      <w:pPr>
        <w:jc w:val="both"/>
        <w:rPr>
          <w:rFonts w:ascii="Times New Roman" w:hAnsi="Times New Roman" w:cs="Times New Roman"/>
          <w:b/>
          <w:sz w:val="24"/>
        </w:rPr>
      </w:pPr>
      <w:r w:rsidRPr="00210111">
        <w:rPr>
          <w:rFonts w:ascii="Times New Roman" w:hAnsi="Times New Roman" w:cs="Times New Roman"/>
          <w:b/>
          <w:sz w:val="24"/>
        </w:rPr>
        <w:t>4)  Non-Carbon Benefits</w:t>
      </w:r>
    </w:p>
    <w:p w:rsidR="00906F5D" w:rsidRPr="00C74542" w:rsidRDefault="001350E2" w:rsidP="00210111">
      <w:pPr>
        <w:pStyle w:val="Default"/>
        <w:jc w:val="both"/>
        <w:rPr>
          <w:color w:val="auto"/>
          <w:szCs w:val="22"/>
        </w:rPr>
      </w:pPr>
      <w:r w:rsidRPr="00210111">
        <w:rPr>
          <w:color w:val="auto"/>
        </w:rPr>
        <w:t xml:space="preserve">The definition of Non-Carbon Benefits (NCBs) in the Commercial Terms is as follows: </w:t>
      </w:r>
      <w:r w:rsidRPr="00210111">
        <w:rPr>
          <w:color w:val="auto"/>
          <w:szCs w:val="22"/>
        </w:rPr>
        <w:t xml:space="preserve">any benefits produced by or in relation to the implementation and operation of the ER Program, other than ERs and Monetary and Non-Monetary Benefits, as specified in the ER Program Document, and, as relevant, any Safeguards Plans.  This definition appears to exclude almost all benefits usually included in the </w:t>
      </w:r>
      <w:r w:rsidR="000A10D9" w:rsidRPr="00210111">
        <w:rPr>
          <w:color w:val="auto"/>
          <w:szCs w:val="22"/>
        </w:rPr>
        <w:t xml:space="preserve">definition of NCBs including but not limited to payments for environmental services, ecosystem services, </w:t>
      </w:r>
      <w:r w:rsidR="00210111">
        <w:rPr>
          <w:color w:val="auto"/>
          <w:szCs w:val="22"/>
        </w:rPr>
        <w:t xml:space="preserve">and the like. </w:t>
      </w:r>
    </w:p>
    <w:p w:rsidR="00906F5D" w:rsidRPr="00210111" w:rsidRDefault="00906F5D" w:rsidP="00210111">
      <w:pPr>
        <w:pStyle w:val="Default"/>
        <w:jc w:val="both"/>
        <w:rPr>
          <w:color w:val="auto"/>
          <w:szCs w:val="22"/>
        </w:rPr>
      </w:pPr>
    </w:p>
    <w:p w:rsidR="001350E2" w:rsidRPr="00210111" w:rsidRDefault="000A10D9" w:rsidP="00210111">
      <w:pPr>
        <w:pStyle w:val="Default"/>
        <w:jc w:val="both"/>
        <w:rPr>
          <w:color w:val="auto"/>
        </w:rPr>
      </w:pPr>
      <w:r w:rsidRPr="00210111">
        <w:rPr>
          <w:color w:val="auto"/>
        </w:rPr>
        <w:t>NCBs should be closely considered in relation to how the Cancun safeguards on REDD+ are being addressed and reported. REDD+ implementation should not only focus on reducing emissions from forest degradation and deforestation but the implementation of conservation, sustainable management of forests and enhancement of forest carbon stocks.</w:t>
      </w:r>
    </w:p>
    <w:p w:rsidR="00FD05E2" w:rsidRPr="00210111" w:rsidRDefault="00FD05E2" w:rsidP="00210111">
      <w:pPr>
        <w:widowControl w:val="0"/>
        <w:autoSpaceDE w:val="0"/>
        <w:autoSpaceDN w:val="0"/>
        <w:adjustRightInd w:val="0"/>
        <w:spacing w:after="0" w:line="240" w:lineRule="auto"/>
        <w:jc w:val="both"/>
        <w:rPr>
          <w:rFonts w:ascii="Times New Roman" w:hAnsi="Times New Roman" w:cs="Times New Roman"/>
          <w:sz w:val="24"/>
          <w:szCs w:val="24"/>
        </w:rPr>
      </w:pPr>
    </w:p>
    <w:p w:rsidR="00FD05E2" w:rsidRPr="00210111" w:rsidRDefault="00FD05E2" w:rsidP="00210111">
      <w:pPr>
        <w:pStyle w:val="Default"/>
        <w:jc w:val="both"/>
        <w:rPr>
          <w:bCs/>
          <w:color w:val="auto"/>
          <w:szCs w:val="22"/>
        </w:rPr>
      </w:pPr>
      <w:r w:rsidRPr="00210111">
        <w:rPr>
          <w:bCs/>
          <w:color w:val="auto"/>
          <w:szCs w:val="22"/>
        </w:rPr>
        <w:t>Programmatic Element 6</w:t>
      </w:r>
      <w:r w:rsidRPr="00210111">
        <w:rPr>
          <w:bCs/>
          <w:color w:val="auto"/>
        </w:rPr>
        <w:t xml:space="preserve"> from the </w:t>
      </w:r>
      <w:r w:rsidRPr="00210111">
        <w:rPr>
          <w:bCs/>
          <w:color w:val="auto"/>
          <w:szCs w:val="28"/>
        </w:rPr>
        <w:t xml:space="preserve">Recommendations of the Working Group on the Methodological and Pricing Approach for the Carbon Fund of the FCPF, </w:t>
      </w:r>
      <w:r w:rsidRPr="00210111">
        <w:rPr>
          <w:color w:val="auto"/>
          <w:szCs w:val="22"/>
        </w:rPr>
        <w:t xml:space="preserve">June 11, 2012, </w:t>
      </w:r>
      <w:r w:rsidRPr="00210111">
        <w:rPr>
          <w:iCs/>
          <w:color w:val="auto"/>
        </w:rPr>
        <w:t>Revised Final Draft</w:t>
      </w:r>
      <w:r w:rsidRPr="00210111">
        <w:rPr>
          <w:bCs/>
          <w:color w:val="auto"/>
        </w:rPr>
        <w:t xml:space="preserve">:  </w:t>
      </w:r>
      <w:r w:rsidR="00071D0C" w:rsidRPr="00210111">
        <w:rPr>
          <w:bCs/>
          <w:color w:val="auto"/>
          <w:szCs w:val="22"/>
        </w:rPr>
        <w:t>Non-carbon B</w:t>
      </w:r>
      <w:r w:rsidRPr="00210111">
        <w:rPr>
          <w:bCs/>
          <w:color w:val="auto"/>
          <w:szCs w:val="22"/>
        </w:rPr>
        <w:t>enefits</w:t>
      </w:r>
      <w:r w:rsidR="00071D0C" w:rsidRPr="00210111">
        <w:rPr>
          <w:bCs/>
          <w:color w:val="auto"/>
          <w:szCs w:val="22"/>
        </w:rPr>
        <w:t xml:space="preserve"> states as follows:</w:t>
      </w:r>
    </w:p>
    <w:p w:rsidR="00071D0C" w:rsidRPr="00210111" w:rsidRDefault="00071D0C" w:rsidP="00210111">
      <w:pPr>
        <w:pStyle w:val="Default"/>
        <w:jc w:val="both"/>
        <w:rPr>
          <w:color w:val="auto"/>
          <w:u w:val="single"/>
        </w:rPr>
      </w:pPr>
    </w:p>
    <w:p w:rsidR="006E6A33" w:rsidRDefault="006E6A33" w:rsidP="006E6A33">
      <w:pPr>
        <w:pStyle w:val="Default"/>
      </w:pPr>
      <w:r>
        <w:t xml:space="preserve">The ER Program contributes to broader sustainable development. This could include, but is not limited to, improving local livelihoods, building transparent and effective forest governance structures, making progress on securing land tenure and enhancing or maintaining biodiversity and/or other ecosystem services. The ER Program should monitor and report on these non-carbon benefits as feasible, taking note of existing and emerging guidance on monitoring of non-carbon benefits by the UNFCCC, CBD, and other relevant platforms. </w:t>
      </w:r>
    </w:p>
    <w:p w:rsidR="006E6A33" w:rsidRDefault="006E6A33" w:rsidP="00210111">
      <w:pPr>
        <w:pStyle w:val="Default"/>
      </w:pPr>
      <w:r>
        <w:t xml:space="preserve">Rationale: </w:t>
      </w:r>
    </w:p>
    <w:p w:rsidR="006E6A33" w:rsidRDefault="006E6A33" w:rsidP="00210111">
      <w:pPr>
        <w:pStyle w:val="Default"/>
      </w:pPr>
      <w:r>
        <w:t xml:space="preserve">• ER Programs inherently provide social and environmental benefits beyond carbon and the mitigation of social and environmental risks. </w:t>
      </w:r>
    </w:p>
    <w:p w:rsidR="006E6A33" w:rsidRDefault="006E6A33" w:rsidP="00210111">
      <w:pPr>
        <w:pStyle w:val="Default"/>
      </w:pPr>
      <w:r>
        <w:t xml:space="preserve">• ER Programs are encouraged to further enhance non-carbon benefits, to contribute to broader sustainable development; and to measure non-carbon benefits in simple and cost-effective ways where feasible. </w:t>
      </w:r>
    </w:p>
    <w:p w:rsidR="006E6A33" w:rsidRDefault="006E6A33" w:rsidP="006E6A33">
      <w:pPr>
        <w:pStyle w:val="Default"/>
      </w:pPr>
    </w:p>
    <w:p w:rsidR="006E6A33" w:rsidRDefault="006E6A33" w:rsidP="006E6A33">
      <w:pPr>
        <w:pStyle w:val="Default"/>
      </w:pPr>
      <w:r>
        <w:t>Virtually all of the NCBs listed in Element 6 are excluded from the definition of NCBs included in the General Conditions.  The definition in the General Conditions needs to be amended to be consistent with the Guidelines.  This is particularly important for REDD</w:t>
      </w:r>
      <w:r w:rsidR="00210111">
        <w:t>+</w:t>
      </w:r>
      <w:r>
        <w:t xml:space="preserve"> countries as NCBs can be an element of discussion in the pricing discussions as set forth in the Guidelines and adopted by the PC in Resolution PC/12/2012/3.  The definition of NCBs should list the NCBs not itemize what are not NCBs to the point that the ER Programs have virtually no NCBs which is contrary to the spirit of REDD</w:t>
      </w:r>
      <w:r w:rsidR="00210111">
        <w:t>+</w:t>
      </w:r>
      <w:r>
        <w:t>.</w:t>
      </w:r>
    </w:p>
    <w:p w:rsidR="006E6A33" w:rsidRDefault="006E6A33" w:rsidP="006E6A33">
      <w:pPr>
        <w:pStyle w:val="Default"/>
      </w:pPr>
    </w:p>
    <w:p w:rsidR="006E6A33" w:rsidRDefault="001E0837" w:rsidP="006E6A33">
      <w:pPr>
        <w:pStyle w:val="Default"/>
      </w:pPr>
      <w:r>
        <w:t>We l</w:t>
      </w:r>
      <w:r w:rsidR="006E6A33">
        <w:t>ook forward to discussing these issues and the General Conditions and the Commercial Terms in at the upcoming meeting of the PC in Arusha, Tanzania.</w:t>
      </w:r>
    </w:p>
    <w:p w:rsidR="00210111" w:rsidRDefault="00210111" w:rsidP="00210111">
      <w:pPr>
        <w:pStyle w:val="Default"/>
      </w:pPr>
    </w:p>
    <w:p w:rsidR="006E6A33" w:rsidRDefault="006E6A33" w:rsidP="00210111">
      <w:pPr>
        <w:pStyle w:val="Default"/>
      </w:pPr>
      <w:r>
        <w:t>Very truly yours,</w:t>
      </w:r>
    </w:p>
    <w:p w:rsidR="006E6A33" w:rsidRDefault="006E6A33" w:rsidP="006E6A33">
      <w:pPr>
        <w:pStyle w:val="Default"/>
      </w:pPr>
    </w:p>
    <w:p w:rsidR="006E6A33" w:rsidRDefault="006E6A33" w:rsidP="006E6A33">
      <w:pPr>
        <w:pStyle w:val="Default"/>
      </w:pPr>
    </w:p>
    <w:p w:rsidR="006E6A33" w:rsidRDefault="006E6A33" w:rsidP="006E6A33">
      <w:pPr>
        <w:pStyle w:val="Default"/>
      </w:pPr>
      <w:r>
        <w:t xml:space="preserve">Bank Information Center </w:t>
      </w:r>
    </w:p>
    <w:p w:rsidR="00210111" w:rsidRDefault="006E6A33" w:rsidP="00210111">
      <w:pPr>
        <w:pStyle w:val="Default"/>
      </w:pPr>
      <w:r>
        <w:t>En</w:t>
      </w:r>
      <w:r w:rsidR="00210111">
        <w:t>vironmental Investigation Agency</w:t>
      </w:r>
    </w:p>
    <w:p w:rsidR="00210111" w:rsidRPr="00C74542" w:rsidRDefault="00210111" w:rsidP="00210111">
      <w:pPr>
        <w:pStyle w:val="Default"/>
      </w:pPr>
      <w:r>
        <w:t>Rainforest Foundation Norway</w:t>
      </w:r>
    </w:p>
    <w:sectPr w:rsidR="00210111" w:rsidRPr="00C74542" w:rsidSect="00AF57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5E2" w:rsidRDefault="00FD05E2" w:rsidP="003E5CCA">
      <w:pPr>
        <w:spacing w:after="0" w:line="240" w:lineRule="auto"/>
      </w:pPr>
      <w:r>
        <w:separator/>
      </w:r>
    </w:p>
  </w:endnote>
  <w:endnote w:type="continuationSeparator" w:id="0">
    <w:p w:rsidR="00FD05E2" w:rsidRDefault="00FD05E2" w:rsidP="003E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5E2" w:rsidRDefault="00FD05E2" w:rsidP="003E5CCA">
      <w:pPr>
        <w:spacing w:after="0" w:line="240" w:lineRule="auto"/>
      </w:pPr>
      <w:r>
        <w:separator/>
      </w:r>
    </w:p>
  </w:footnote>
  <w:footnote w:type="continuationSeparator" w:id="0">
    <w:p w:rsidR="00FD05E2" w:rsidRDefault="00FD05E2" w:rsidP="003E5CCA">
      <w:pPr>
        <w:spacing w:after="0" w:line="240" w:lineRule="auto"/>
      </w:pPr>
      <w:r>
        <w:continuationSeparator/>
      </w:r>
    </w:p>
  </w:footnote>
  <w:footnote w:id="1">
    <w:p w:rsidR="00FD05E2" w:rsidRPr="00210111" w:rsidRDefault="00FD05E2" w:rsidP="002B2C2D">
      <w:pPr>
        <w:pStyle w:val="Default"/>
        <w:rPr>
          <w:b/>
          <w:bCs/>
          <w:i/>
          <w:iCs/>
          <w:sz w:val="16"/>
          <w:szCs w:val="16"/>
        </w:rPr>
      </w:pPr>
      <w:r w:rsidRPr="00210111">
        <w:rPr>
          <w:rStyle w:val="Fotnotereferanse"/>
          <w:sz w:val="16"/>
          <w:szCs w:val="16"/>
        </w:rPr>
        <w:footnoteRef/>
      </w:r>
      <w:r w:rsidRPr="00210111">
        <w:rPr>
          <w:sz w:val="16"/>
          <w:szCs w:val="16"/>
        </w:rPr>
        <w:t xml:space="preserve"> Commercial Terms </w:t>
      </w:r>
      <w:r w:rsidRPr="00210111">
        <w:rPr>
          <w:b/>
          <w:bCs/>
          <w:sz w:val="16"/>
          <w:szCs w:val="16"/>
        </w:rPr>
        <w:t xml:space="preserve">Section 10.02 </w:t>
      </w:r>
      <w:r w:rsidRPr="00210111">
        <w:rPr>
          <w:sz w:val="16"/>
          <w:szCs w:val="16"/>
        </w:rPr>
        <w:t>[</w:t>
      </w:r>
      <w:r w:rsidRPr="00210111">
        <w:rPr>
          <w:b/>
          <w:bCs/>
          <w:i/>
          <w:iCs/>
          <w:sz w:val="16"/>
          <w:szCs w:val="16"/>
        </w:rPr>
        <w:t xml:space="preserve">Disclosure of information [##Insert only if either Party to the ERPA requests ERPA terms to be confidential, otherwise delete##] </w:t>
      </w:r>
    </w:p>
    <w:p w:rsidR="00FD05E2" w:rsidRPr="00210111" w:rsidRDefault="00FD05E2" w:rsidP="002B2C2D">
      <w:pPr>
        <w:pStyle w:val="Default"/>
        <w:rPr>
          <w:sz w:val="16"/>
          <w:szCs w:val="16"/>
        </w:rPr>
      </w:pPr>
    </w:p>
    <w:p w:rsidR="00FD05E2" w:rsidRPr="00210111" w:rsidRDefault="00FD05E2" w:rsidP="002B2C2D">
      <w:pPr>
        <w:pStyle w:val="Default"/>
        <w:rPr>
          <w:sz w:val="16"/>
          <w:szCs w:val="16"/>
        </w:rPr>
      </w:pPr>
      <w:r w:rsidRPr="00210111">
        <w:rPr>
          <w:sz w:val="16"/>
          <w:szCs w:val="16"/>
        </w:rPr>
        <w:t>(a) Notwithstanding Section 18.07(a) of the General Conditions and without prejudice to Section 18.07(b) of the General Conditions, all information disclosed by the Parties in the commercial negotiations leading to the ERPA, and the ERPA itself (collectively, the “</w:t>
      </w:r>
      <w:r w:rsidRPr="00210111">
        <w:rPr>
          <w:b/>
          <w:bCs/>
          <w:sz w:val="16"/>
          <w:szCs w:val="16"/>
        </w:rPr>
        <w:t>Confidential Information</w:t>
      </w:r>
      <w:r w:rsidRPr="00210111">
        <w:rPr>
          <w:sz w:val="16"/>
          <w:szCs w:val="16"/>
        </w:rPr>
        <w:t xml:space="preserve">”) shall be kept confidential and not be disclosed unless: </w:t>
      </w:r>
    </w:p>
    <w:p w:rsidR="00FD05E2" w:rsidRPr="00210111" w:rsidRDefault="00FD05E2" w:rsidP="002B2C2D">
      <w:pPr>
        <w:pStyle w:val="Default"/>
        <w:rPr>
          <w:sz w:val="16"/>
          <w:szCs w:val="16"/>
        </w:rPr>
      </w:pPr>
    </w:p>
    <w:p w:rsidR="00FD05E2" w:rsidRPr="00210111" w:rsidRDefault="00FD05E2" w:rsidP="002B2C2D">
      <w:pPr>
        <w:pStyle w:val="Default"/>
        <w:rPr>
          <w:sz w:val="16"/>
          <w:szCs w:val="16"/>
        </w:rPr>
      </w:pPr>
      <w:r w:rsidRPr="00210111">
        <w:rPr>
          <w:sz w:val="16"/>
          <w:szCs w:val="16"/>
        </w:rPr>
        <w:t>(</w:t>
      </w:r>
      <w:proofErr w:type="spellStart"/>
      <w:r w:rsidRPr="00210111">
        <w:rPr>
          <w:sz w:val="16"/>
          <w:szCs w:val="16"/>
        </w:rPr>
        <w:t>i</w:t>
      </w:r>
      <w:proofErr w:type="spellEnd"/>
      <w:r w:rsidRPr="00210111">
        <w:rPr>
          <w:sz w:val="16"/>
          <w:szCs w:val="16"/>
        </w:rPr>
        <w:t xml:space="preserve">) at the time of disclosure, the Confidential Information is public or which after disclosure becomes public other than by disclosure by either Party in violation of this provision; </w:t>
      </w:r>
    </w:p>
    <w:p w:rsidR="00FD05E2" w:rsidRPr="00210111" w:rsidRDefault="00FD05E2" w:rsidP="002B2C2D">
      <w:pPr>
        <w:pStyle w:val="Default"/>
        <w:rPr>
          <w:sz w:val="16"/>
          <w:szCs w:val="16"/>
        </w:rPr>
      </w:pPr>
    </w:p>
    <w:p w:rsidR="00FD05E2" w:rsidRPr="00210111" w:rsidRDefault="00FD05E2" w:rsidP="002B2C2D">
      <w:pPr>
        <w:pStyle w:val="Default"/>
        <w:rPr>
          <w:sz w:val="16"/>
          <w:szCs w:val="16"/>
        </w:rPr>
      </w:pPr>
      <w:r w:rsidRPr="00210111">
        <w:rPr>
          <w:sz w:val="16"/>
          <w:szCs w:val="16"/>
        </w:rPr>
        <w:t xml:space="preserve">(ii) the disclosing Party has been given prior written consent by the other Party to make that disclosure; or </w:t>
      </w:r>
    </w:p>
    <w:p w:rsidR="00FD05E2" w:rsidRPr="00210111" w:rsidRDefault="00FD05E2" w:rsidP="002B2C2D">
      <w:pPr>
        <w:pStyle w:val="Default"/>
        <w:rPr>
          <w:sz w:val="16"/>
          <w:szCs w:val="16"/>
        </w:rPr>
      </w:pPr>
    </w:p>
    <w:p w:rsidR="00FD05E2" w:rsidRPr="00210111" w:rsidRDefault="00FD05E2" w:rsidP="002B2C2D">
      <w:pPr>
        <w:pStyle w:val="Default"/>
        <w:rPr>
          <w:sz w:val="16"/>
          <w:szCs w:val="16"/>
        </w:rPr>
      </w:pPr>
      <w:r w:rsidRPr="00210111">
        <w:rPr>
          <w:sz w:val="16"/>
          <w:szCs w:val="16"/>
        </w:rPr>
        <w:t xml:space="preserve">(iii) the Confidential Information is required to be disclosed under any applicable laws and regulations or by any subpoena or similar legal process. </w:t>
      </w:r>
    </w:p>
    <w:p w:rsidR="00FD05E2" w:rsidRPr="00210111" w:rsidRDefault="00FD05E2" w:rsidP="002B2C2D">
      <w:pPr>
        <w:pStyle w:val="Default"/>
        <w:rPr>
          <w:sz w:val="16"/>
          <w:szCs w:val="16"/>
        </w:rPr>
      </w:pPr>
    </w:p>
    <w:p w:rsidR="00FD05E2" w:rsidRPr="00210111" w:rsidRDefault="00FD05E2" w:rsidP="002B2C2D">
      <w:pPr>
        <w:pStyle w:val="Default"/>
        <w:rPr>
          <w:sz w:val="16"/>
          <w:szCs w:val="16"/>
        </w:rPr>
      </w:pPr>
      <w:r w:rsidRPr="00210111">
        <w:rPr>
          <w:sz w:val="16"/>
          <w:szCs w:val="16"/>
        </w:rPr>
        <w:t xml:space="preserve">(b) Notwithstanding the foregoing, the Program Entity agrees that the Trustee may disclose the Confidential Information to the Carbon Fund Participants. </w:t>
      </w:r>
    </w:p>
    <w:p w:rsidR="00FD05E2" w:rsidRPr="00210111" w:rsidRDefault="00FD05E2" w:rsidP="002B2C2D">
      <w:pPr>
        <w:pStyle w:val="Default"/>
        <w:rPr>
          <w:sz w:val="16"/>
          <w:szCs w:val="16"/>
        </w:rPr>
      </w:pPr>
    </w:p>
    <w:p w:rsidR="00FD05E2" w:rsidRPr="00210111" w:rsidRDefault="00FD05E2" w:rsidP="002B2C2D">
      <w:pPr>
        <w:pStyle w:val="Fotnotetekst"/>
        <w:rPr>
          <w:rFonts w:ascii="Times New Roman" w:hAnsi="Times New Roman" w:cs="Times New Roman"/>
          <w:sz w:val="16"/>
          <w:szCs w:val="16"/>
        </w:rPr>
      </w:pPr>
      <w:r w:rsidRPr="00210111">
        <w:rPr>
          <w:rFonts w:ascii="Times New Roman" w:hAnsi="Times New Roman" w:cs="Times New Roman"/>
          <w:sz w:val="16"/>
          <w:szCs w:val="16"/>
        </w:rPr>
        <w:t>(c) This Section 10.02 shall survive for a period of five (5) years after any termination under this Agreement, unless the Parties otherwise agree in writing.]</w:t>
      </w:r>
    </w:p>
    <w:p w:rsidR="00FD05E2" w:rsidRDefault="00FD05E2" w:rsidP="002B2C2D">
      <w:pPr>
        <w:pStyle w:val="Fotnotetekst"/>
      </w:pPr>
    </w:p>
  </w:footnote>
  <w:footnote w:id="2">
    <w:p w:rsidR="00FD05E2" w:rsidRPr="00210111" w:rsidRDefault="00FD05E2" w:rsidP="002B2C2D">
      <w:pPr>
        <w:pStyle w:val="Default"/>
        <w:rPr>
          <w:sz w:val="16"/>
          <w:szCs w:val="16"/>
        </w:rPr>
      </w:pPr>
      <w:r w:rsidRPr="00210111">
        <w:rPr>
          <w:rStyle w:val="Fotnotereferanse"/>
          <w:sz w:val="16"/>
          <w:szCs w:val="16"/>
        </w:rPr>
        <w:footnoteRef/>
      </w:r>
      <w:r w:rsidRPr="00210111">
        <w:rPr>
          <w:sz w:val="16"/>
          <w:szCs w:val="16"/>
        </w:rPr>
        <w:t xml:space="preserve"> General Conditions </w:t>
      </w:r>
      <w:r w:rsidRPr="00210111">
        <w:rPr>
          <w:b/>
          <w:bCs/>
          <w:sz w:val="16"/>
          <w:szCs w:val="16"/>
        </w:rPr>
        <w:t xml:space="preserve">Section 18.07 </w:t>
      </w:r>
      <w:r w:rsidRPr="00210111">
        <w:rPr>
          <w:b/>
          <w:bCs/>
          <w:i/>
          <w:iCs/>
          <w:sz w:val="16"/>
          <w:szCs w:val="16"/>
        </w:rPr>
        <w:t xml:space="preserve">Disclosure of information </w:t>
      </w:r>
    </w:p>
    <w:p w:rsidR="00FD05E2" w:rsidRPr="00210111" w:rsidRDefault="00FD05E2" w:rsidP="002B2C2D">
      <w:pPr>
        <w:pStyle w:val="Default"/>
        <w:rPr>
          <w:sz w:val="16"/>
          <w:szCs w:val="16"/>
        </w:rPr>
      </w:pPr>
      <w:r w:rsidRPr="00210111">
        <w:rPr>
          <w:sz w:val="16"/>
          <w:szCs w:val="16"/>
        </w:rPr>
        <w:t xml:space="preserve">(a) Unless the ERPA provides otherwise, all the terms of the ERPA shall be public (non-confidential) and be disclosed. </w:t>
      </w:r>
    </w:p>
    <w:p w:rsidR="00FD05E2" w:rsidRDefault="00FD05E2" w:rsidP="002B2C2D">
      <w:pPr>
        <w:pStyle w:val="Fotnotetekst"/>
      </w:pPr>
      <w:r w:rsidRPr="00210111">
        <w:rPr>
          <w:rFonts w:ascii="Times New Roman" w:hAnsi="Times New Roman" w:cs="Times New Roman"/>
          <w:sz w:val="16"/>
          <w:szCs w:val="16"/>
        </w:rPr>
        <w:t>(b) Notwithstanding Section 18.07(a), all reports (including, but not limited to, ER Monitoring Reports, Verification Reports, Interim Progress Reports) and plans (including, but not limited to, Benefit-Sharing Plans, Safeguards Plans, ER Monitoring Plans, Reversal Event Mitigation Plans and Action Plans) to be</w:t>
      </w:r>
      <w:r>
        <w:rPr>
          <w:sz w:val="22"/>
          <w:szCs w:val="22"/>
        </w:rPr>
        <w:t xml:space="preserve"> </w:t>
      </w:r>
      <w:r w:rsidRPr="00210111">
        <w:rPr>
          <w:rFonts w:ascii="Times New Roman" w:hAnsi="Times New Roman" w:cs="Times New Roman"/>
          <w:sz w:val="16"/>
          <w:szCs w:val="16"/>
        </w:rPr>
        <w:t>issued under the ERPA as well as these General Conditions shall be public (non-confidential) and be disclosed.</w:t>
      </w:r>
    </w:p>
  </w:footnote>
  <w:footnote w:id="3">
    <w:p w:rsidR="00FD05E2" w:rsidRPr="00210111" w:rsidRDefault="00FD05E2" w:rsidP="009C1214">
      <w:pPr>
        <w:pStyle w:val="Default"/>
        <w:rPr>
          <w:sz w:val="16"/>
          <w:szCs w:val="16"/>
        </w:rPr>
      </w:pPr>
      <w:r w:rsidRPr="00210111">
        <w:rPr>
          <w:rStyle w:val="Fotnotereferanse"/>
          <w:sz w:val="16"/>
          <w:szCs w:val="16"/>
        </w:rPr>
        <w:footnoteRef/>
      </w:r>
      <w:r w:rsidRPr="00210111">
        <w:rPr>
          <w:sz w:val="16"/>
          <w:szCs w:val="16"/>
        </w:rPr>
        <w:t xml:space="preserve"> General Conditions </w:t>
      </w:r>
      <w:r w:rsidRPr="00210111">
        <w:rPr>
          <w:b/>
          <w:bCs/>
          <w:sz w:val="16"/>
          <w:szCs w:val="16"/>
        </w:rPr>
        <w:t xml:space="preserve">Section 1.01 </w:t>
      </w:r>
      <w:r w:rsidRPr="00210111">
        <w:rPr>
          <w:b/>
          <w:bCs/>
          <w:i/>
          <w:iCs/>
          <w:sz w:val="16"/>
          <w:szCs w:val="16"/>
        </w:rPr>
        <w:t xml:space="preserve">Application of General Conditions </w:t>
      </w:r>
    </w:p>
    <w:p w:rsidR="00FD05E2" w:rsidRPr="00210111" w:rsidRDefault="00FD05E2" w:rsidP="009C1214">
      <w:pPr>
        <w:pStyle w:val="Default"/>
        <w:rPr>
          <w:sz w:val="16"/>
          <w:szCs w:val="16"/>
        </w:rPr>
      </w:pPr>
      <w:r w:rsidRPr="00210111">
        <w:rPr>
          <w:sz w:val="16"/>
          <w:szCs w:val="16"/>
        </w:rPr>
        <w:t>These General Conditions set forth the terms and conditions applicable to the ERPA, to the extent of and</w:t>
      </w:r>
      <w:r>
        <w:rPr>
          <w:sz w:val="22"/>
          <w:szCs w:val="22"/>
        </w:rPr>
        <w:t xml:space="preserve"> </w:t>
      </w:r>
      <w:r w:rsidRPr="00210111">
        <w:rPr>
          <w:sz w:val="16"/>
          <w:szCs w:val="16"/>
        </w:rPr>
        <w:t>subject to any modifications</w:t>
      </w:r>
      <w:r>
        <w:rPr>
          <w:sz w:val="22"/>
          <w:szCs w:val="22"/>
        </w:rPr>
        <w:t xml:space="preserve"> </w:t>
      </w:r>
      <w:r w:rsidRPr="00210111">
        <w:rPr>
          <w:sz w:val="16"/>
          <w:szCs w:val="16"/>
        </w:rPr>
        <w:t>set forth</w:t>
      </w:r>
      <w:r>
        <w:rPr>
          <w:sz w:val="22"/>
          <w:szCs w:val="22"/>
        </w:rPr>
        <w:t xml:space="preserve"> </w:t>
      </w:r>
      <w:r w:rsidRPr="00210111">
        <w:rPr>
          <w:sz w:val="16"/>
          <w:szCs w:val="16"/>
        </w:rPr>
        <w:t xml:space="preserve">in the ERPA. </w:t>
      </w:r>
    </w:p>
    <w:p w:rsidR="00FD05E2" w:rsidRPr="00210111" w:rsidRDefault="00FD05E2" w:rsidP="009C1214">
      <w:pPr>
        <w:pStyle w:val="Default"/>
        <w:rPr>
          <w:sz w:val="16"/>
          <w:szCs w:val="16"/>
        </w:rPr>
      </w:pPr>
      <w:r w:rsidRPr="00210111">
        <w:rPr>
          <w:b/>
          <w:bCs/>
          <w:sz w:val="16"/>
          <w:szCs w:val="16"/>
        </w:rPr>
        <w:t xml:space="preserve">General Conditions Section 1.02 </w:t>
      </w:r>
      <w:r w:rsidRPr="00210111">
        <w:rPr>
          <w:b/>
          <w:bCs/>
          <w:i/>
          <w:iCs/>
          <w:sz w:val="16"/>
          <w:szCs w:val="16"/>
        </w:rPr>
        <w:t xml:space="preserve">Inconsistency with ERPA </w:t>
      </w:r>
    </w:p>
    <w:p w:rsidR="00FD05E2" w:rsidRPr="00210111" w:rsidRDefault="00FD05E2" w:rsidP="009C1214">
      <w:pPr>
        <w:pStyle w:val="Fotnotetekst"/>
        <w:rPr>
          <w:rFonts w:ascii="Times New Roman" w:hAnsi="Times New Roman" w:cs="Times New Roman"/>
          <w:sz w:val="16"/>
          <w:szCs w:val="16"/>
        </w:rPr>
      </w:pPr>
      <w:r w:rsidRPr="00210111">
        <w:rPr>
          <w:rFonts w:ascii="Times New Roman" w:hAnsi="Times New Roman" w:cs="Times New Roman"/>
          <w:sz w:val="16"/>
          <w:szCs w:val="16"/>
        </w:rPr>
        <w:t>If any provision of the ERPA is inconsistent with a provision of these General Conditions, the provision of the ERPA shall govern to the extent of the inconsistency.</w:t>
      </w:r>
    </w:p>
    <w:p w:rsidR="00FD05E2" w:rsidRPr="00210111" w:rsidRDefault="00FD05E2" w:rsidP="000833C9">
      <w:pPr>
        <w:pStyle w:val="Default"/>
        <w:rPr>
          <w:sz w:val="16"/>
          <w:szCs w:val="16"/>
        </w:rPr>
      </w:pPr>
      <w:r w:rsidRPr="00210111">
        <w:rPr>
          <w:b/>
          <w:bCs/>
          <w:sz w:val="16"/>
          <w:szCs w:val="16"/>
        </w:rPr>
        <w:t xml:space="preserve">Commercial Terms Section 1.02 </w:t>
      </w:r>
      <w:r w:rsidRPr="00210111">
        <w:rPr>
          <w:b/>
          <w:bCs/>
          <w:i/>
          <w:iCs/>
          <w:sz w:val="16"/>
          <w:szCs w:val="16"/>
        </w:rPr>
        <w:t xml:space="preserve">Inconsistency with General Conditions </w:t>
      </w:r>
    </w:p>
    <w:p w:rsidR="00FD05E2" w:rsidRPr="00210111" w:rsidRDefault="00FD05E2" w:rsidP="000833C9">
      <w:pPr>
        <w:pStyle w:val="Fotnotetekst"/>
        <w:rPr>
          <w:rFonts w:ascii="Times New Roman" w:hAnsi="Times New Roman" w:cs="Times New Roman"/>
          <w:sz w:val="16"/>
          <w:szCs w:val="16"/>
        </w:rPr>
      </w:pPr>
      <w:r w:rsidRPr="00210111">
        <w:rPr>
          <w:rFonts w:ascii="Times New Roman" w:hAnsi="Times New Roman" w:cs="Times New Roman"/>
          <w:sz w:val="16"/>
          <w:szCs w:val="16"/>
        </w:rPr>
        <w:t>If any provision of this Agreement is inconsistent with a provision of the General Conditions, the provision of this Agreement shall prevail to the extent of such inconsistency.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C9"/>
    <w:rsid w:val="00071D0C"/>
    <w:rsid w:val="000833C9"/>
    <w:rsid w:val="000A10D9"/>
    <w:rsid w:val="0012289D"/>
    <w:rsid w:val="001350E2"/>
    <w:rsid w:val="00163514"/>
    <w:rsid w:val="001E0837"/>
    <w:rsid w:val="00210111"/>
    <w:rsid w:val="002B2C2D"/>
    <w:rsid w:val="00302141"/>
    <w:rsid w:val="00344761"/>
    <w:rsid w:val="003C01A7"/>
    <w:rsid w:val="003E5CCA"/>
    <w:rsid w:val="00471DA5"/>
    <w:rsid w:val="004825EC"/>
    <w:rsid w:val="004C1047"/>
    <w:rsid w:val="00521427"/>
    <w:rsid w:val="005437F0"/>
    <w:rsid w:val="00550D42"/>
    <w:rsid w:val="00604CD1"/>
    <w:rsid w:val="00650DC9"/>
    <w:rsid w:val="00682648"/>
    <w:rsid w:val="006D58EE"/>
    <w:rsid w:val="006E6A33"/>
    <w:rsid w:val="00705685"/>
    <w:rsid w:val="00740F90"/>
    <w:rsid w:val="007B4A49"/>
    <w:rsid w:val="008A0469"/>
    <w:rsid w:val="008D3B99"/>
    <w:rsid w:val="00906F5D"/>
    <w:rsid w:val="009110D8"/>
    <w:rsid w:val="00934DAF"/>
    <w:rsid w:val="009C1214"/>
    <w:rsid w:val="00A851E9"/>
    <w:rsid w:val="00AF57F0"/>
    <w:rsid w:val="00C74542"/>
    <w:rsid w:val="00E931CE"/>
    <w:rsid w:val="00F23FF3"/>
    <w:rsid w:val="00FD05E2"/>
    <w:rsid w:val="00FD49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B06BA"/>
    <w:rPr>
      <w:rFonts w:ascii="Lucida Grande" w:hAnsi="Lucida Grande" w:cs="Lucida Grande"/>
      <w:sz w:val="18"/>
      <w:szCs w:val="18"/>
    </w:rPr>
  </w:style>
  <w:style w:type="character" w:customStyle="1" w:styleId="BalloonTextChar">
    <w:name w:val="Balloon Text Char"/>
    <w:basedOn w:val="Standardskriftforavsnitt"/>
    <w:uiPriority w:val="99"/>
    <w:semiHidden/>
    <w:rsid w:val="009B06B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B06BA"/>
    <w:rPr>
      <w:rFonts w:ascii="Lucida Grande" w:hAnsi="Lucida Grande" w:cs="Lucida Grande"/>
      <w:sz w:val="18"/>
      <w:szCs w:val="18"/>
    </w:rPr>
  </w:style>
  <w:style w:type="paragraph" w:styleId="Topptekst">
    <w:name w:val="header"/>
    <w:basedOn w:val="Normal"/>
    <w:link w:val="TopptekstTegn"/>
    <w:uiPriority w:val="99"/>
    <w:unhideWhenUsed/>
    <w:rsid w:val="003E5CCA"/>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3E5CCA"/>
  </w:style>
  <w:style w:type="paragraph" w:styleId="Bunntekst">
    <w:name w:val="footer"/>
    <w:basedOn w:val="Normal"/>
    <w:link w:val="BunntekstTegn"/>
    <w:uiPriority w:val="99"/>
    <w:unhideWhenUsed/>
    <w:rsid w:val="003E5CCA"/>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3E5CCA"/>
  </w:style>
  <w:style w:type="paragraph" w:styleId="Fotnotetekst">
    <w:name w:val="footnote text"/>
    <w:basedOn w:val="Normal"/>
    <w:link w:val="FotnotetekstTegn"/>
    <w:uiPriority w:val="99"/>
    <w:semiHidden/>
    <w:unhideWhenUsed/>
    <w:rsid w:val="002B2C2D"/>
    <w:pPr>
      <w:spacing w:after="0" w:line="240" w:lineRule="auto"/>
    </w:pPr>
    <w:rPr>
      <w:sz w:val="24"/>
      <w:szCs w:val="24"/>
    </w:rPr>
  </w:style>
  <w:style w:type="character" w:customStyle="1" w:styleId="FotnotetekstTegn">
    <w:name w:val="Fotnotetekst Tegn"/>
    <w:basedOn w:val="Standardskriftforavsnitt"/>
    <w:link w:val="Fotnotetekst"/>
    <w:uiPriority w:val="99"/>
    <w:semiHidden/>
    <w:rsid w:val="002B2C2D"/>
    <w:rPr>
      <w:sz w:val="24"/>
      <w:szCs w:val="24"/>
    </w:rPr>
  </w:style>
  <w:style w:type="character" w:styleId="Fotnotereferanse">
    <w:name w:val="footnote reference"/>
    <w:basedOn w:val="Standardskriftforavsnitt"/>
    <w:uiPriority w:val="99"/>
    <w:semiHidden/>
    <w:unhideWhenUsed/>
    <w:rsid w:val="002B2C2D"/>
    <w:rPr>
      <w:vertAlign w:val="superscript"/>
    </w:rPr>
  </w:style>
  <w:style w:type="paragraph" w:customStyle="1" w:styleId="Default">
    <w:name w:val="Default"/>
    <w:rsid w:val="002B2C2D"/>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B06BA"/>
    <w:rPr>
      <w:rFonts w:ascii="Lucida Grande" w:hAnsi="Lucida Grande" w:cs="Lucida Grande"/>
      <w:sz w:val="18"/>
      <w:szCs w:val="18"/>
    </w:rPr>
  </w:style>
  <w:style w:type="character" w:customStyle="1" w:styleId="BalloonTextChar">
    <w:name w:val="Balloon Text Char"/>
    <w:basedOn w:val="Standardskriftforavsnitt"/>
    <w:uiPriority w:val="99"/>
    <w:semiHidden/>
    <w:rsid w:val="009B06B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B06BA"/>
    <w:rPr>
      <w:rFonts w:ascii="Lucida Grande" w:hAnsi="Lucida Grande" w:cs="Lucida Grande"/>
      <w:sz w:val="18"/>
      <w:szCs w:val="18"/>
    </w:rPr>
  </w:style>
  <w:style w:type="paragraph" w:styleId="Topptekst">
    <w:name w:val="header"/>
    <w:basedOn w:val="Normal"/>
    <w:link w:val="TopptekstTegn"/>
    <w:uiPriority w:val="99"/>
    <w:unhideWhenUsed/>
    <w:rsid w:val="003E5CCA"/>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3E5CCA"/>
  </w:style>
  <w:style w:type="paragraph" w:styleId="Bunntekst">
    <w:name w:val="footer"/>
    <w:basedOn w:val="Normal"/>
    <w:link w:val="BunntekstTegn"/>
    <w:uiPriority w:val="99"/>
    <w:unhideWhenUsed/>
    <w:rsid w:val="003E5CCA"/>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3E5CCA"/>
  </w:style>
  <w:style w:type="paragraph" w:styleId="Fotnotetekst">
    <w:name w:val="footnote text"/>
    <w:basedOn w:val="Normal"/>
    <w:link w:val="FotnotetekstTegn"/>
    <w:uiPriority w:val="99"/>
    <w:semiHidden/>
    <w:unhideWhenUsed/>
    <w:rsid w:val="002B2C2D"/>
    <w:pPr>
      <w:spacing w:after="0" w:line="240" w:lineRule="auto"/>
    </w:pPr>
    <w:rPr>
      <w:sz w:val="24"/>
      <w:szCs w:val="24"/>
    </w:rPr>
  </w:style>
  <w:style w:type="character" w:customStyle="1" w:styleId="FotnotetekstTegn">
    <w:name w:val="Fotnotetekst Tegn"/>
    <w:basedOn w:val="Standardskriftforavsnitt"/>
    <w:link w:val="Fotnotetekst"/>
    <w:uiPriority w:val="99"/>
    <w:semiHidden/>
    <w:rsid w:val="002B2C2D"/>
    <w:rPr>
      <w:sz w:val="24"/>
      <w:szCs w:val="24"/>
    </w:rPr>
  </w:style>
  <w:style w:type="character" w:styleId="Fotnotereferanse">
    <w:name w:val="footnote reference"/>
    <w:basedOn w:val="Standardskriftforavsnitt"/>
    <w:uiPriority w:val="99"/>
    <w:semiHidden/>
    <w:unhideWhenUsed/>
    <w:rsid w:val="002B2C2D"/>
    <w:rPr>
      <w:vertAlign w:val="superscript"/>
    </w:rPr>
  </w:style>
  <w:style w:type="paragraph" w:customStyle="1" w:styleId="Default">
    <w:name w:val="Default"/>
    <w:rsid w:val="002B2C2D"/>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F43C0EF5</Template>
  <TotalTime>0</TotalTime>
  <Pages>6</Pages>
  <Words>2210</Words>
  <Characters>11714</Characters>
  <Application>Microsoft Office Word</Application>
  <DocSecurity>0</DocSecurity>
  <Lines>97</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Lichtenstein</dc:creator>
  <cp:lastModifiedBy>Brita Ingebrigtsen</cp:lastModifiedBy>
  <cp:revision>2</cp:revision>
  <dcterms:created xsi:type="dcterms:W3CDTF">2015-06-30T12:53:00Z</dcterms:created>
  <dcterms:modified xsi:type="dcterms:W3CDTF">2015-06-30T12:53:00Z</dcterms:modified>
</cp:coreProperties>
</file>